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E9" w:rsidRPr="00B447E9" w:rsidRDefault="00B447E9" w:rsidP="004E20E1">
      <w:pPr>
        <w:spacing w:after="0" w:line="240" w:lineRule="auto"/>
        <w:jc w:val="both"/>
        <w:rPr>
          <w:rFonts w:ascii="Tahoma" w:hAnsi="Tahoma" w:cs="Tahoma"/>
          <w:b/>
          <w:sz w:val="20"/>
          <w:szCs w:val="20"/>
        </w:rPr>
      </w:pPr>
    </w:p>
    <w:p w:rsidR="00DB3767" w:rsidRPr="00DB3767" w:rsidRDefault="00B447E9" w:rsidP="00330337">
      <w:pPr>
        <w:pStyle w:val="Textoindependiente"/>
        <w:widowControl w:val="0"/>
        <w:tabs>
          <w:tab w:val="left" w:pos="2410"/>
          <w:tab w:val="left" w:pos="5812"/>
        </w:tabs>
        <w:suppressAutoHyphens/>
        <w:spacing w:after="0" w:line="240" w:lineRule="auto"/>
        <w:ind w:left="3402" w:right="2409" w:hanging="1134"/>
        <w:jc w:val="both"/>
        <w:rPr>
          <w:rFonts w:ascii="Tahoma" w:hAnsi="Tahoma" w:cs="Tahoma"/>
          <w:i/>
          <w:sz w:val="20"/>
          <w:szCs w:val="20"/>
        </w:rPr>
      </w:pPr>
      <w:r w:rsidRPr="00DB3767">
        <w:rPr>
          <w:rFonts w:ascii="Tahoma" w:hAnsi="Tahoma" w:cs="Tahoma"/>
          <w:b/>
          <w:i/>
          <w:sz w:val="20"/>
          <w:szCs w:val="20"/>
        </w:rPr>
        <w:t>Sumilla:</w:t>
      </w:r>
      <w:r w:rsidR="00DB3767">
        <w:rPr>
          <w:rFonts w:ascii="Tahoma" w:hAnsi="Tahoma" w:cs="Tahoma"/>
          <w:b/>
          <w:i/>
          <w:sz w:val="20"/>
          <w:szCs w:val="20"/>
        </w:rPr>
        <w:t xml:space="preserve"> </w:t>
      </w:r>
      <w:r w:rsidR="00330337" w:rsidRPr="00330337">
        <w:rPr>
          <w:rFonts w:ascii="Tahoma" w:hAnsi="Tahoma" w:cs="Tahoma"/>
          <w:i/>
          <w:sz w:val="20"/>
          <w:szCs w:val="20"/>
        </w:rPr>
        <w:t>E</w:t>
      </w:r>
      <w:r w:rsidR="00330337">
        <w:rPr>
          <w:rFonts w:ascii="Tahoma" w:hAnsi="Tahoma" w:cs="Tahoma"/>
          <w:i/>
          <w:sz w:val="20"/>
          <w:szCs w:val="20"/>
        </w:rPr>
        <w:t>l</w:t>
      </w:r>
      <w:r w:rsidR="00DB3767" w:rsidRPr="00DB3767">
        <w:rPr>
          <w:rFonts w:ascii="Tahoma" w:hAnsi="Tahoma" w:cs="Tahoma"/>
          <w:i/>
          <w:sz w:val="20"/>
          <w:szCs w:val="20"/>
        </w:rPr>
        <w:t xml:space="preserve"> artículo 261º del Reglamento prescribe que en el Registro de Proveedores de Bienes deberán inscribirse todas las personas naturales o jurídicas, nacionales o extranjeras, que deseen participar en procesos de selección y/o contratar con el Estado.</w:t>
      </w:r>
    </w:p>
    <w:p w:rsidR="00B447E9" w:rsidRPr="00B447E9" w:rsidRDefault="00B447E9" w:rsidP="004E20E1">
      <w:pPr>
        <w:pStyle w:val="Textoindependiente"/>
        <w:widowControl w:val="0"/>
        <w:tabs>
          <w:tab w:val="left" w:pos="2410"/>
          <w:tab w:val="left" w:pos="3261"/>
          <w:tab w:val="left" w:pos="3686"/>
          <w:tab w:val="left" w:pos="5954"/>
          <w:tab w:val="left" w:pos="6946"/>
        </w:tabs>
        <w:suppressAutoHyphens/>
        <w:spacing w:after="0" w:line="240" w:lineRule="auto"/>
        <w:ind w:left="3402" w:right="2409" w:hanging="1276"/>
        <w:jc w:val="both"/>
        <w:rPr>
          <w:rFonts w:ascii="Tahoma" w:hAnsi="Tahoma" w:cs="Tahoma"/>
          <w:i/>
          <w:sz w:val="20"/>
          <w:szCs w:val="20"/>
          <w:lang w:val="es-PE"/>
        </w:rPr>
      </w:pPr>
    </w:p>
    <w:p w:rsidR="00B447E9" w:rsidRPr="00B447E9" w:rsidRDefault="00B447E9" w:rsidP="004E20E1">
      <w:pPr>
        <w:pStyle w:val="Textoindependiente3"/>
        <w:spacing w:after="0"/>
        <w:ind w:left="4248" w:right="179" w:firstLine="708"/>
        <w:jc w:val="both"/>
        <w:rPr>
          <w:rFonts w:ascii="Tahoma" w:hAnsi="Tahoma" w:cs="Tahoma"/>
          <w:b/>
          <w:sz w:val="20"/>
          <w:szCs w:val="20"/>
        </w:rPr>
      </w:pPr>
    </w:p>
    <w:p w:rsidR="00B447E9" w:rsidRPr="00B447E9" w:rsidRDefault="00B447E9" w:rsidP="004E20E1">
      <w:pPr>
        <w:pStyle w:val="Textoindependiente3"/>
        <w:spacing w:after="0"/>
        <w:ind w:left="4248" w:right="179" w:firstLine="708"/>
        <w:jc w:val="both"/>
        <w:rPr>
          <w:rFonts w:ascii="Tahoma" w:hAnsi="Tahoma" w:cs="Tahoma"/>
          <w:sz w:val="20"/>
          <w:szCs w:val="20"/>
        </w:rPr>
      </w:pPr>
      <w:r w:rsidRPr="00B447E9">
        <w:rPr>
          <w:rFonts w:ascii="Tahoma" w:hAnsi="Tahoma" w:cs="Tahoma"/>
          <w:b/>
          <w:sz w:val="20"/>
          <w:szCs w:val="20"/>
        </w:rPr>
        <w:t>Lima</w:t>
      </w:r>
      <w:r w:rsidRPr="00B447E9">
        <w:rPr>
          <w:rFonts w:ascii="Tahoma" w:hAnsi="Tahoma" w:cs="Tahoma"/>
          <w:sz w:val="20"/>
          <w:szCs w:val="20"/>
        </w:rPr>
        <w:t xml:space="preserve">, </w:t>
      </w:r>
      <w:r w:rsidR="003B3344">
        <w:rPr>
          <w:rFonts w:ascii="Tahoma" w:hAnsi="Tahoma" w:cs="Tahoma"/>
          <w:sz w:val="20"/>
          <w:szCs w:val="20"/>
        </w:rPr>
        <w:t>27 de Julio de 2011</w:t>
      </w:r>
    </w:p>
    <w:p w:rsidR="00B447E9" w:rsidRDefault="00B447E9" w:rsidP="004E20E1">
      <w:pPr>
        <w:spacing w:after="0" w:line="240" w:lineRule="auto"/>
        <w:jc w:val="both"/>
        <w:rPr>
          <w:rFonts w:ascii="Tahoma" w:eastAsia="Times New Roman" w:hAnsi="Tahoma" w:cs="Tahoma"/>
          <w:sz w:val="20"/>
          <w:szCs w:val="20"/>
          <w:lang w:val="es-PE" w:eastAsia="es-ES"/>
        </w:rPr>
      </w:pPr>
    </w:p>
    <w:p w:rsidR="00B447E9" w:rsidRPr="00B447E9" w:rsidRDefault="00B447E9" w:rsidP="004E20E1">
      <w:pPr>
        <w:spacing w:after="0" w:line="240" w:lineRule="auto"/>
        <w:jc w:val="both"/>
        <w:rPr>
          <w:rFonts w:ascii="Tahoma" w:hAnsi="Tahoma" w:cs="Tahoma"/>
          <w:b/>
          <w:sz w:val="20"/>
          <w:szCs w:val="20"/>
        </w:rPr>
      </w:pPr>
      <w:r w:rsidRPr="00B447E9">
        <w:rPr>
          <w:rFonts w:ascii="Tahoma" w:hAnsi="Tahoma" w:cs="Tahoma"/>
          <w:b/>
          <w:sz w:val="20"/>
          <w:szCs w:val="20"/>
        </w:rPr>
        <w:t>VISTO</w:t>
      </w:r>
      <w:r w:rsidRPr="00B447E9">
        <w:rPr>
          <w:rFonts w:ascii="Tahoma" w:hAnsi="Tahoma" w:cs="Tahoma"/>
          <w:sz w:val="20"/>
          <w:szCs w:val="20"/>
        </w:rPr>
        <w:t xml:space="preserve"> en sesión de fecha </w:t>
      </w:r>
      <w:r>
        <w:rPr>
          <w:rFonts w:ascii="Tahoma" w:hAnsi="Tahoma" w:cs="Tahoma"/>
          <w:sz w:val="20"/>
          <w:szCs w:val="20"/>
        </w:rPr>
        <w:t>25</w:t>
      </w:r>
      <w:r w:rsidRPr="00B447E9">
        <w:rPr>
          <w:rFonts w:ascii="Tahoma" w:hAnsi="Tahoma" w:cs="Tahoma"/>
          <w:sz w:val="20"/>
          <w:szCs w:val="20"/>
        </w:rPr>
        <w:t xml:space="preserve"> de julio de 2011 de la Primera Sala del Tribunal de Contrataciones del Estado el Expediente № </w:t>
      </w:r>
      <w:r>
        <w:rPr>
          <w:rFonts w:ascii="Tahoma" w:hAnsi="Tahoma" w:cs="Tahoma"/>
          <w:sz w:val="20"/>
          <w:szCs w:val="20"/>
        </w:rPr>
        <w:t>535</w:t>
      </w:r>
      <w:r w:rsidRPr="00B447E9">
        <w:rPr>
          <w:rFonts w:ascii="Tahoma" w:hAnsi="Tahoma" w:cs="Tahoma"/>
          <w:sz w:val="20"/>
          <w:szCs w:val="20"/>
        </w:rPr>
        <w:t>/201</w:t>
      </w:r>
      <w:r>
        <w:rPr>
          <w:rFonts w:ascii="Tahoma" w:hAnsi="Tahoma" w:cs="Tahoma"/>
          <w:sz w:val="20"/>
          <w:szCs w:val="20"/>
        </w:rPr>
        <w:t>1</w:t>
      </w:r>
      <w:r w:rsidRPr="00B447E9">
        <w:rPr>
          <w:rFonts w:ascii="Tahoma" w:hAnsi="Tahoma" w:cs="Tahoma"/>
          <w:sz w:val="20"/>
          <w:szCs w:val="20"/>
        </w:rPr>
        <w:t xml:space="preserve">.TC, sobre el procedimiento administrativo sancionador contra la empresa SECURE SOFT S.A.C., </w:t>
      </w:r>
      <w:r w:rsidRPr="00B447E9">
        <w:rPr>
          <w:rFonts w:ascii="Tahoma" w:hAnsi="Tahoma" w:cs="Tahoma"/>
          <w:sz w:val="20"/>
          <w:szCs w:val="20"/>
          <w:lang w:val="es-MX"/>
        </w:rPr>
        <w:t xml:space="preserve">por supuesta responsabilidad en </w:t>
      </w:r>
      <w:r>
        <w:rPr>
          <w:rFonts w:ascii="Tahoma" w:hAnsi="Tahoma" w:cs="Tahoma"/>
          <w:sz w:val="20"/>
          <w:szCs w:val="20"/>
          <w:lang w:val="es-MX"/>
        </w:rPr>
        <w:t xml:space="preserve">haber suscrito el </w:t>
      </w:r>
      <w:r w:rsidRPr="00B447E9">
        <w:rPr>
          <w:rFonts w:ascii="Tahoma" w:hAnsi="Tahoma" w:cs="Tahoma"/>
          <w:sz w:val="20"/>
          <w:szCs w:val="20"/>
        </w:rPr>
        <w:t>Contrato  Nº 186-2010-DCGI/JNE</w:t>
      </w:r>
      <w:r>
        <w:rPr>
          <w:rFonts w:ascii="Tahoma" w:hAnsi="Tahoma" w:cs="Tahoma"/>
          <w:sz w:val="20"/>
          <w:szCs w:val="20"/>
        </w:rPr>
        <w:t xml:space="preserve"> sin contar con inscripción vigente en el Registro Nacional de Proveedores, derivado del </w:t>
      </w:r>
      <w:r w:rsidR="00CB7BE4">
        <w:rPr>
          <w:rFonts w:ascii="Tahoma" w:hAnsi="Tahoma" w:cs="Tahoma"/>
          <w:sz w:val="20"/>
          <w:szCs w:val="20"/>
        </w:rPr>
        <w:t>Ítem</w:t>
      </w:r>
      <w:r>
        <w:rPr>
          <w:rFonts w:ascii="Tahoma" w:hAnsi="Tahoma" w:cs="Tahoma"/>
          <w:sz w:val="20"/>
          <w:szCs w:val="20"/>
        </w:rPr>
        <w:t xml:space="preserve"> Nº 02 de </w:t>
      </w:r>
      <w:r w:rsidRPr="00B447E9">
        <w:rPr>
          <w:rFonts w:ascii="Tahoma" w:hAnsi="Tahoma" w:cs="Tahoma"/>
          <w:sz w:val="20"/>
          <w:szCs w:val="20"/>
        </w:rPr>
        <w:t>la Adjudicación de Menor Cuantía Nº 089-2010-JNE 1era convocatoria</w:t>
      </w:r>
      <w:r>
        <w:rPr>
          <w:rFonts w:ascii="Tahoma" w:hAnsi="Tahoma" w:cs="Tahoma"/>
          <w:sz w:val="20"/>
          <w:szCs w:val="20"/>
        </w:rPr>
        <w:t xml:space="preserve">, </w:t>
      </w:r>
      <w:r w:rsidR="00124182">
        <w:rPr>
          <w:rFonts w:ascii="Tahoma" w:hAnsi="Tahoma" w:cs="Tahoma"/>
          <w:sz w:val="20"/>
          <w:szCs w:val="20"/>
        </w:rPr>
        <w:t>efectuada</w:t>
      </w:r>
      <w:r>
        <w:rPr>
          <w:rFonts w:ascii="Tahoma" w:hAnsi="Tahoma" w:cs="Tahoma"/>
          <w:sz w:val="20"/>
          <w:szCs w:val="20"/>
        </w:rPr>
        <w:t xml:space="preserve"> por </w:t>
      </w:r>
      <w:r w:rsidRPr="00B447E9">
        <w:rPr>
          <w:rFonts w:ascii="Tahoma" w:hAnsi="Tahoma" w:cs="Tahoma"/>
          <w:sz w:val="20"/>
          <w:szCs w:val="20"/>
        </w:rPr>
        <w:t>el Jurado Nacional de Elecciones</w:t>
      </w:r>
      <w:r>
        <w:rPr>
          <w:rFonts w:ascii="Tahoma" w:hAnsi="Tahoma" w:cs="Tahoma"/>
          <w:sz w:val="20"/>
          <w:szCs w:val="20"/>
        </w:rPr>
        <w:t xml:space="preserve">, </w:t>
      </w:r>
      <w:r w:rsidRPr="00B447E9">
        <w:rPr>
          <w:rFonts w:ascii="Tahoma" w:hAnsi="Tahoma" w:cs="Tahoma"/>
          <w:sz w:val="20"/>
          <w:szCs w:val="20"/>
        </w:rPr>
        <w:t xml:space="preserve">para la adquisición de Licencias de Software con motivo de las </w:t>
      </w:r>
      <w:r w:rsidR="00124182">
        <w:rPr>
          <w:rFonts w:ascii="Tahoma" w:hAnsi="Tahoma" w:cs="Tahoma"/>
          <w:sz w:val="20"/>
          <w:szCs w:val="20"/>
        </w:rPr>
        <w:t>E</w:t>
      </w:r>
      <w:r w:rsidRPr="00B447E9">
        <w:rPr>
          <w:rFonts w:ascii="Tahoma" w:hAnsi="Tahoma" w:cs="Tahoma"/>
          <w:sz w:val="20"/>
          <w:szCs w:val="20"/>
        </w:rPr>
        <w:t xml:space="preserve">lecciones </w:t>
      </w:r>
      <w:r w:rsidR="00124182">
        <w:rPr>
          <w:rFonts w:ascii="Tahoma" w:hAnsi="Tahoma" w:cs="Tahoma"/>
          <w:sz w:val="20"/>
          <w:szCs w:val="20"/>
        </w:rPr>
        <w:t>R</w:t>
      </w:r>
      <w:r w:rsidRPr="00B447E9">
        <w:rPr>
          <w:rFonts w:ascii="Tahoma" w:hAnsi="Tahoma" w:cs="Tahoma"/>
          <w:sz w:val="20"/>
          <w:szCs w:val="20"/>
        </w:rPr>
        <w:t xml:space="preserve">egionales y </w:t>
      </w:r>
      <w:r w:rsidR="00124182">
        <w:rPr>
          <w:rFonts w:ascii="Tahoma" w:hAnsi="Tahoma" w:cs="Tahoma"/>
          <w:sz w:val="20"/>
          <w:szCs w:val="20"/>
        </w:rPr>
        <w:t>M</w:t>
      </w:r>
      <w:r w:rsidRPr="00B447E9">
        <w:rPr>
          <w:rFonts w:ascii="Tahoma" w:hAnsi="Tahoma" w:cs="Tahoma"/>
          <w:sz w:val="20"/>
          <w:szCs w:val="20"/>
        </w:rPr>
        <w:t xml:space="preserve">unicipales – FONAVI 2010; y, atendiendo a los siguientes:   </w:t>
      </w:r>
    </w:p>
    <w:p w:rsidR="00B447E9" w:rsidRPr="00B447E9" w:rsidRDefault="00B447E9" w:rsidP="004E20E1">
      <w:pPr>
        <w:spacing w:after="0" w:line="240" w:lineRule="auto"/>
        <w:ind w:right="45"/>
        <w:jc w:val="both"/>
        <w:rPr>
          <w:rFonts w:ascii="Tahoma" w:hAnsi="Tahoma" w:cs="Tahoma"/>
          <w:sz w:val="20"/>
          <w:szCs w:val="20"/>
        </w:rPr>
      </w:pPr>
    </w:p>
    <w:p w:rsidR="00B447E9" w:rsidRPr="00B447E9" w:rsidRDefault="00B447E9" w:rsidP="004E20E1">
      <w:pPr>
        <w:pStyle w:val="Ttulo2"/>
        <w:jc w:val="both"/>
        <w:rPr>
          <w:rFonts w:cs="Tahoma"/>
          <w:sz w:val="20"/>
        </w:rPr>
      </w:pPr>
      <w:r w:rsidRPr="00B447E9">
        <w:rPr>
          <w:rFonts w:cs="Tahoma"/>
          <w:sz w:val="20"/>
        </w:rPr>
        <w:t>ANTECEDENTES:</w:t>
      </w:r>
    </w:p>
    <w:p w:rsidR="00B447E9" w:rsidRPr="00B447E9" w:rsidRDefault="00B447E9" w:rsidP="004E20E1">
      <w:pPr>
        <w:spacing w:after="0" w:line="240" w:lineRule="auto"/>
        <w:ind w:left="360"/>
        <w:jc w:val="both"/>
        <w:rPr>
          <w:rFonts w:ascii="Tahoma" w:hAnsi="Tahoma" w:cs="Tahoma"/>
          <w:sz w:val="20"/>
          <w:szCs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El 25 de agosto de 2010, el Jurado Nacional de Elecciones, en adelante la Entidad, convocó a la Adjudicación de Menor Cuantía Nº 089-2010-JNE 1era convocatoria -  Ítem Nº 02, efectuada para la adquisición de Licencias de Software con motivo de las elecciones regionales y municipales – FONAVI 2010, por el valor referencial ascendente a S/. 301, 172.30 Nuevos Soles, incluido los impuestos de Ley.</w:t>
      </w:r>
    </w:p>
    <w:p w:rsidR="00B447E9" w:rsidRPr="00B447E9" w:rsidRDefault="00B447E9" w:rsidP="004E20E1">
      <w:pPr>
        <w:spacing w:after="0" w:line="240" w:lineRule="auto"/>
        <w:ind w:left="540"/>
        <w:jc w:val="both"/>
        <w:rPr>
          <w:rFonts w:ascii="Tahoma" w:hAnsi="Tahoma" w:cs="Tahoma"/>
          <w:sz w:val="20"/>
          <w:szCs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El 31 de agosto de 2010, se publicó en el SEACE el otorgamiento de la Buena Pro a favor de la empresa SECURE SOFT S.A.C., en adelante el Contratista.</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El 14 de setiembre de 2010, la Entidad y el Contratista suscribieron el Contrato  Nº 186-2010-DCGI/JNE</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 xml:space="preserve">Con Memorando Nº 03-2010-AA-LOG-DGRS/JNE  de fecha 21 de setiembre de 2010,  el encargado del Área de adquisiciones indicó que el registro del contrato en la Plataforma SEACE no pudo realizarse, debido a que el Contratista no contaba con inscripción vigente en el RNP. </w:t>
      </w:r>
    </w:p>
    <w:p w:rsidR="00B447E9" w:rsidRPr="00B447E9" w:rsidRDefault="00B447E9" w:rsidP="004E20E1">
      <w:pPr>
        <w:pStyle w:val="Prrafodelista"/>
        <w:jc w:val="both"/>
        <w:rPr>
          <w:rFonts w:ascii="Tahoma" w:hAnsi="Tahoma" w:cs="Tahoma"/>
          <w:sz w:val="20"/>
        </w:rPr>
      </w:pPr>
    </w:p>
    <w:p w:rsidR="00B447E9" w:rsidRPr="00B447E9" w:rsidRDefault="00B447E9" w:rsidP="004E20E1">
      <w:pPr>
        <w:spacing w:after="0" w:line="240" w:lineRule="auto"/>
        <w:ind w:left="540"/>
        <w:jc w:val="both"/>
        <w:rPr>
          <w:rFonts w:ascii="Tahoma" w:hAnsi="Tahoma" w:cs="Tahoma"/>
          <w:sz w:val="20"/>
          <w:szCs w:val="20"/>
        </w:rPr>
      </w:pPr>
      <w:r w:rsidRPr="00B447E9">
        <w:rPr>
          <w:rFonts w:ascii="Tahoma" w:hAnsi="Tahoma" w:cs="Tahoma"/>
          <w:sz w:val="20"/>
          <w:szCs w:val="20"/>
        </w:rPr>
        <w:t>Su inscripción estuvo vigente hasta el 08 de setiembre de 2010 y su renovación se inició desde el 15 del mismo mes.</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 xml:space="preserve">Mediante Informe Nº 290-2010-DGNA/JNE, de fecha 23 de setiembre de 2010, la Dirección General de Asuntos Jurídicos  concluyó que se había configurado una causal </w:t>
      </w:r>
      <w:r w:rsidRPr="00B447E9">
        <w:rPr>
          <w:rFonts w:ascii="Tahoma" w:hAnsi="Tahoma" w:cs="Tahoma"/>
          <w:sz w:val="20"/>
          <w:szCs w:val="20"/>
        </w:rPr>
        <w:lastRenderedPageBreak/>
        <w:t>para resolver el contrato, y que debía ponerse en conocimiento del Tribunal los hechos expuestos.</w:t>
      </w:r>
    </w:p>
    <w:p w:rsidR="00B447E9" w:rsidRPr="00B447E9" w:rsidRDefault="00B447E9" w:rsidP="004E20E1">
      <w:pPr>
        <w:spacing w:after="0" w:line="240" w:lineRule="auto"/>
        <w:ind w:left="540"/>
        <w:jc w:val="both"/>
        <w:rPr>
          <w:rFonts w:ascii="Tahoma" w:hAnsi="Tahoma" w:cs="Tahoma"/>
          <w:sz w:val="20"/>
          <w:szCs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Con Oficio Nº 769-2010-DGRS/JNE de fecha 30 de setiembre de 2010, se solicitó a la Dirección Técnica Normativa del OSCE que emita opinión sobre los hechos descritos.</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Mediante Oficio Nº 334-2010/PRE-DTN de fecha 30 de diciembre de 2010, se remitió la Opinión Nº 080-2010-DTN, en la que se indicó que la falta de inscripción acarrea un vicio trascendente que conlleva a nulidad del contrato.</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Con Oficio Nº 028-2011-PP/JNE el Pro curador Público de la Entidad solicitó llevar a conciliación extrajudicial  la nulidad del contrato.</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Mediante Acta de Conciliación Nº 035-2011 de fecha 26 de enero de 2011, las partes acordaron declarar la nulidad del contrato.</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Mediante Oficio Nº 492-2011-DGRS/JNE de fecha 25 de abril de 2011, la Entidad puso en conocimiento de este colegiado los hechos antes expuestos.</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 xml:space="preserve">Con decreto de fecha 28 de abril de 2011, se dispuso iniciar el procedimiento administrativo sancionador contra el contratista, por supuesta responsabilidad en haber suscrito el Contrato Nº 186-2010-DCG/JNE sin contar con inscripción vigente en el RNP. Asimismo, se le otorgó al contratista el </w:t>
      </w:r>
      <w:r w:rsidRPr="00B447E9">
        <w:rPr>
          <w:rFonts w:ascii="Tahoma" w:hAnsi="Tahoma" w:cs="Tahoma"/>
          <w:color w:val="000000"/>
          <w:sz w:val="20"/>
          <w:szCs w:val="20"/>
        </w:rPr>
        <w:t>plazo de diez (10) días hábiles para que cumpla con presentar sus descargos.</w:t>
      </w:r>
    </w:p>
    <w:p w:rsidR="00B447E9" w:rsidRPr="00B447E9" w:rsidRDefault="00B447E9" w:rsidP="004E20E1">
      <w:pPr>
        <w:pStyle w:val="Prrafodelista"/>
        <w:jc w:val="both"/>
        <w:rPr>
          <w:rFonts w:ascii="Tahoma" w:hAnsi="Tahoma" w:cs="Tahoma"/>
          <w:sz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Con escrito de fecha 23 de junio de 2011, la empresa  SECURE SOFT S.A.C. presentó sus descargos en los siguientes términos:</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t>A la fecha de inscripción en el proceso y presentación de propuestas se cumplió con tener la inscripción vigente en el RNP. Dicha vigencia se extendía desde el 09 de setiembre de 2009 al 08 de setiembre de 2008.</w:t>
      </w:r>
    </w:p>
    <w:p w:rsidR="00B447E9" w:rsidRPr="00B447E9" w:rsidRDefault="00B447E9" w:rsidP="004E20E1">
      <w:pPr>
        <w:pStyle w:val="Prrafodelista"/>
        <w:ind w:left="1260"/>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t>Al contar con la documentación correspondiente para la firma del contrato, se apersonó a suscribir el contrato el 14 de setiembre de 2010.</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t>Con fecha 31 de agosto de 2010, fecha en la que se adjudicó y consintió la buena pro del ítem 02 y ocho días antes de la vigencia del RNP, se inició el trámite de renovación de inscripción con el respectivo pago y adjuntando la documentación requerida.</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t>Ante el inicio de los tramites, actuando buena fe, en el entendido que la renovación seria automática, como se realizo en años anteriores, se continuó con los trámites para la suscripción del contrato, hasta realizarlos el 14 de setiembre de 2010</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t>Al revisar la bandeja de mensajes del RNP que le corresponde al Contratista, se verificó que el trámite de inscripción en el RNP había sido aprobado, por lo que el representante legal procedió a suscribir el contrato.</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lastRenderedPageBreak/>
        <w:t>Se actuó de buena fe en todo momento, por ello, se accedió a la declaración de nulidad del contrato.</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Prrafodelista"/>
        <w:widowControl/>
        <w:numPr>
          <w:ilvl w:val="0"/>
          <w:numId w:val="14"/>
        </w:numPr>
        <w:suppressAutoHyphens w:val="0"/>
        <w:jc w:val="both"/>
        <w:rPr>
          <w:rFonts w:ascii="Tahoma" w:hAnsi="Tahoma" w:cs="Tahoma"/>
          <w:sz w:val="20"/>
        </w:rPr>
      </w:pPr>
      <w:r w:rsidRPr="00B447E9">
        <w:rPr>
          <w:rFonts w:ascii="Tahoma" w:hAnsi="Tahoma" w:cs="Tahoma"/>
          <w:sz w:val="20"/>
        </w:rPr>
        <w:t>Solicita se declare improcedente la aplicación de sanción.</w:t>
      </w:r>
    </w:p>
    <w:p w:rsidR="00B447E9" w:rsidRPr="00B447E9" w:rsidRDefault="00B447E9" w:rsidP="004E20E1">
      <w:pPr>
        <w:spacing w:after="0" w:line="240" w:lineRule="auto"/>
        <w:ind w:left="540"/>
        <w:jc w:val="both"/>
        <w:rPr>
          <w:rFonts w:ascii="Tahoma" w:hAnsi="Tahoma" w:cs="Tahoma"/>
          <w:sz w:val="20"/>
          <w:szCs w:val="20"/>
        </w:rPr>
      </w:pPr>
    </w:p>
    <w:p w:rsidR="00B447E9" w:rsidRPr="00B447E9" w:rsidRDefault="00B447E9" w:rsidP="004E20E1">
      <w:pPr>
        <w:numPr>
          <w:ilvl w:val="0"/>
          <w:numId w:val="13"/>
        </w:numPr>
        <w:tabs>
          <w:tab w:val="clear" w:pos="720"/>
          <w:tab w:val="num" w:pos="540"/>
        </w:tabs>
        <w:spacing w:after="0" w:line="240" w:lineRule="auto"/>
        <w:ind w:left="540" w:hanging="540"/>
        <w:jc w:val="both"/>
        <w:rPr>
          <w:rFonts w:ascii="Tahoma" w:hAnsi="Tahoma" w:cs="Tahoma"/>
          <w:sz w:val="20"/>
          <w:szCs w:val="20"/>
        </w:rPr>
      </w:pPr>
      <w:r w:rsidRPr="00B447E9">
        <w:rPr>
          <w:rFonts w:ascii="Tahoma" w:hAnsi="Tahoma" w:cs="Tahoma"/>
          <w:sz w:val="20"/>
          <w:szCs w:val="20"/>
        </w:rPr>
        <w:t xml:space="preserve">Con decreto de fecha 28 de junio de 2011, se dispuso remitir </w:t>
      </w:r>
      <w:r w:rsidRPr="00B447E9">
        <w:rPr>
          <w:rFonts w:ascii="Tahoma" w:hAnsi="Tahoma" w:cs="Tahoma"/>
          <w:color w:val="000000"/>
          <w:spacing w:val="-3"/>
          <w:sz w:val="20"/>
          <w:szCs w:val="20"/>
          <w:lang w:val="es-ES_tradnl"/>
        </w:rPr>
        <w:t>el expediente a la </w:t>
      </w:r>
      <w:r w:rsidRPr="00B447E9">
        <w:rPr>
          <w:rStyle w:val="Textoennegrita"/>
          <w:rFonts w:ascii="Tahoma" w:hAnsi="Tahoma" w:cs="Tahoma"/>
          <w:color w:val="000000"/>
          <w:spacing w:val="-3"/>
          <w:sz w:val="20"/>
          <w:szCs w:val="20"/>
          <w:lang w:val="es-ES_tradnl"/>
        </w:rPr>
        <w:t>Primera Sala del Tribunal</w:t>
      </w:r>
      <w:r w:rsidRPr="00B447E9">
        <w:rPr>
          <w:rFonts w:ascii="Tahoma" w:hAnsi="Tahoma" w:cs="Tahoma"/>
          <w:b/>
          <w:bCs/>
          <w:color w:val="000000"/>
          <w:spacing w:val="-3"/>
          <w:sz w:val="20"/>
          <w:szCs w:val="20"/>
          <w:lang w:val="es-ES_tradnl"/>
        </w:rPr>
        <w:t xml:space="preserve"> </w:t>
      </w:r>
      <w:r w:rsidRPr="00B447E9">
        <w:rPr>
          <w:rFonts w:ascii="Tahoma" w:hAnsi="Tahoma" w:cs="Tahoma"/>
          <w:color w:val="000000"/>
          <w:spacing w:val="-3"/>
          <w:sz w:val="20"/>
          <w:szCs w:val="20"/>
          <w:lang w:val="es-ES_tradnl"/>
        </w:rPr>
        <w:t>para que resuelva.</w:t>
      </w:r>
    </w:p>
    <w:p w:rsidR="00B447E9" w:rsidRPr="00B447E9" w:rsidRDefault="00B447E9" w:rsidP="004E20E1">
      <w:pPr>
        <w:pStyle w:val="Prrafodelista"/>
        <w:ind w:left="567"/>
        <w:jc w:val="both"/>
        <w:rPr>
          <w:rFonts w:ascii="Tahoma" w:hAnsi="Tahoma" w:cs="Tahoma"/>
          <w:sz w:val="20"/>
        </w:rPr>
      </w:pPr>
    </w:p>
    <w:p w:rsidR="00B447E9" w:rsidRPr="00B447E9" w:rsidRDefault="00B447E9" w:rsidP="004E20E1">
      <w:pPr>
        <w:tabs>
          <w:tab w:val="num" w:pos="9720"/>
        </w:tabs>
        <w:spacing w:after="0" w:line="240" w:lineRule="auto"/>
        <w:jc w:val="both"/>
        <w:rPr>
          <w:rFonts w:ascii="Tahoma" w:hAnsi="Tahoma" w:cs="Tahoma"/>
          <w:b/>
          <w:sz w:val="20"/>
          <w:szCs w:val="20"/>
        </w:rPr>
      </w:pPr>
      <w:r w:rsidRPr="00B447E9">
        <w:rPr>
          <w:rFonts w:ascii="Tahoma" w:hAnsi="Tahoma" w:cs="Tahoma"/>
          <w:b/>
          <w:sz w:val="20"/>
          <w:szCs w:val="20"/>
        </w:rPr>
        <w:t>FUNDAMENTACIÓN:</w:t>
      </w:r>
    </w:p>
    <w:p w:rsidR="00B447E9" w:rsidRPr="00B447E9" w:rsidRDefault="00B447E9" w:rsidP="004E20E1">
      <w:pPr>
        <w:pStyle w:val="Textoindependiente"/>
        <w:spacing w:after="0" w:line="240" w:lineRule="auto"/>
        <w:jc w:val="both"/>
        <w:rPr>
          <w:rFonts w:ascii="Tahoma" w:hAnsi="Tahoma" w:cs="Tahoma"/>
          <w:b/>
          <w:bCs/>
          <w:sz w:val="20"/>
          <w:szCs w:val="20"/>
          <w:lang w:val="es-MX"/>
        </w:rPr>
      </w:pPr>
    </w:p>
    <w:p w:rsidR="00B447E9" w:rsidRPr="00B447E9" w:rsidRDefault="00B447E9" w:rsidP="004E20E1">
      <w:pPr>
        <w:pStyle w:val="Textoindependiente"/>
        <w:widowControl w:val="0"/>
        <w:numPr>
          <w:ilvl w:val="0"/>
          <w:numId w:val="5"/>
        </w:numPr>
        <w:tabs>
          <w:tab w:val="left" w:pos="2410"/>
        </w:tabs>
        <w:suppressAutoHyphens/>
        <w:spacing w:after="0" w:line="240" w:lineRule="auto"/>
        <w:jc w:val="both"/>
        <w:rPr>
          <w:rFonts w:ascii="Tahoma" w:hAnsi="Tahoma" w:cs="Tahoma"/>
          <w:sz w:val="20"/>
          <w:szCs w:val="20"/>
        </w:rPr>
      </w:pPr>
      <w:r w:rsidRPr="00B447E9">
        <w:rPr>
          <w:rFonts w:ascii="Tahoma" w:hAnsi="Tahoma" w:cs="Tahoma"/>
          <w:sz w:val="20"/>
          <w:szCs w:val="20"/>
          <w:lang w:val="es-ES_tradnl"/>
        </w:rPr>
        <w:t xml:space="preserve">El presente proceso está referido </w:t>
      </w:r>
      <w:r w:rsidRPr="00B447E9">
        <w:rPr>
          <w:rFonts w:ascii="Tahoma" w:hAnsi="Tahoma" w:cs="Tahoma"/>
          <w:sz w:val="20"/>
          <w:szCs w:val="20"/>
        </w:rPr>
        <w:t>a la supuesta responsabilidad del Postor, por haber participado en la Adjudicación de Menor Cuantía Nº 089-2010-JNE 1era convocatoria -  Ítem Nº 02</w:t>
      </w:r>
      <w:r w:rsidRPr="00B447E9">
        <w:rPr>
          <w:rFonts w:ascii="Tahoma" w:hAnsi="Tahoma" w:cs="Tahoma"/>
          <w:spacing w:val="-2"/>
          <w:sz w:val="20"/>
          <w:szCs w:val="20"/>
        </w:rPr>
        <w:t xml:space="preserve">, </w:t>
      </w:r>
      <w:r w:rsidRPr="00B447E9">
        <w:rPr>
          <w:rFonts w:ascii="Tahoma" w:hAnsi="Tahoma" w:cs="Tahoma"/>
          <w:sz w:val="20"/>
          <w:szCs w:val="20"/>
        </w:rPr>
        <w:t>sin contar con inscripción vigente en el Registro Nacional de Proveedores, infracción tipificada en el literal e) del artículo 51.1 de la Ley de Contrataciones del Estado aprobado mediante Decreto Legislativo Nº 1017, en adelante la Ley; en adelante el Reglamento, normas vigentes durante la ocurrencia de los hechos imputados.</w:t>
      </w:r>
    </w:p>
    <w:p w:rsidR="00B447E9" w:rsidRPr="00B447E9" w:rsidRDefault="00B447E9" w:rsidP="004E20E1">
      <w:pPr>
        <w:pStyle w:val="Textoindependiente"/>
        <w:widowControl w:val="0"/>
        <w:tabs>
          <w:tab w:val="left" w:pos="2410"/>
        </w:tabs>
        <w:suppressAutoHyphens/>
        <w:spacing w:after="0" w:line="240" w:lineRule="auto"/>
        <w:jc w:val="both"/>
        <w:rPr>
          <w:rFonts w:ascii="Tahoma" w:hAnsi="Tahoma" w:cs="Tahoma"/>
          <w:sz w:val="20"/>
          <w:szCs w:val="20"/>
        </w:rPr>
      </w:pPr>
    </w:p>
    <w:p w:rsidR="00B447E9" w:rsidRPr="00B447E9" w:rsidRDefault="00B447E9" w:rsidP="004E20E1">
      <w:pPr>
        <w:pStyle w:val="Textoindependiente"/>
        <w:widowControl w:val="0"/>
        <w:numPr>
          <w:ilvl w:val="0"/>
          <w:numId w:val="5"/>
        </w:numPr>
        <w:tabs>
          <w:tab w:val="left" w:pos="2410"/>
        </w:tabs>
        <w:suppressAutoHyphens/>
        <w:spacing w:after="0" w:line="240" w:lineRule="auto"/>
        <w:jc w:val="both"/>
        <w:rPr>
          <w:rFonts w:ascii="Tahoma" w:hAnsi="Tahoma" w:cs="Tahoma"/>
          <w:sz w:val="20"/>
          <w:szCs w:val="20"/>
        </w:rPr>
      </w:pPr>
      <w:r w:rsidRPr="00B447E9">
        <w:rPr>
          <w:rFonts w:ascii="Tahoma" w:hAnsi="Tahoma" w:cs="Tahoma"/>
          <w:sz w:val="20"/>
          <w:szCs w:val="20"/>
        </w:rPr>
        <w:t>Respecto a ello, se debe señalar que el artículo 9 de la Ley, establece que para ser participante, postor y/o contratista se requiere estar inscrito en el Registro Nacional de Proveedores, mientras que el artículo 261</w:t>
      </w:r>
      <w:r w:rsidR="00DB3767">
        <w:rPr>
          <w:rFonts w:ascii="Tahoma" w:hAnsi="Tahoma" w:cs="Tahoma"/>
          <w:sz w:val="20"/>
          <w:szCs w:val="20"/>
        </w:rPr>
        <w:t>º</w:t>
      </w:r>
      <w:r w:rsidRPr="00B447E9">
        <w:rPr>
          <w:rFonts w:ascii="Tahoma" w:hAnsi="Tahoma" w:cs="Tahoma"/>
          <w:sz w:val="20"/>
          <w:szCs w:val="20"/>
        </w:rPr>
        <w:t xml:space="preserve"> del Reglamento prescribe que en el Registro de Proveedores de Bienes deberán inscribirse todas las personas naturales o jurídicas, nacionales o extranjeras, que deseen participar en procesos de selección y/o contratar con el Estado.</w:t>
      </w:r>
    </w:p>
    <w:p w:rsidR="00B447E9" w:rsidRPr="00B447E9" w:rsidRDefault="00B447E9" w:rsidP="004E20E1">
      <w:pPr>
        <w:pStyle w:val="Textoindependiente"/>
        <w:widowControl w:val="0"/>
        <w:tabs>
          <w:tab w:val="left" w:pos="2410"/>
        </w:tabs>
        <w:suppressAutoHyphens/>
        <w:spacing w:after="0" w:line="240" w:lineRule="auto"/>
        <w:jc w:val="both"/>
        <w:rPr>
          <w:rFonts w:ascii="Tahoma" w:hAnsi="Tahoma" w:cs="Tahoma"/>
          <w:sz w:val="20"/>
          <w:szCs w:val="20"/>
        </w:rPr>
      </w:pPr>
    </w:p>
    <w:p w:rsidR="00B447E9" w:rsidRPr="00B447E9" w:rsidRDefault="004E20E1" w:rsidP="004E20E1">
      <w:pPr>
        <w:pStyle w:val="Textoindependiente"/>
        <w:widowControl w:val="0"/>
        <w:numPr>
          <w:ilvl w:val="0"/>
          <w:numId w:val="5"/>
        </w:numPr>
        <w:tabs>
          <w:tab w:val="left" w:pos="567"/>
        </w:tabs>
        <w:suppressAutoHyphens/>
        <w:spacing w:after="0" w:line="240" w:lineRule="auto"/>
        <w:jc w:val="both"/>
        <w:rPr>
          <w:rFonts w:ascii="Tahoma" w:hAnsi="Tahoma" w:cs="Tahoma"/>
          <w:sz w:val="20"/>
          <w:szCs w:val="20"/>
        </w:rPr>
      </w:pPr>
      <w:r>
        <w:rPr>
          <w:rFonts w:ascii="Tahoma" w:hAnsi="Tahoma" w:cs="Tahoma"/>
          <w:sz w:val="20"/>
          <w:szCs w:val="20"/>
        </w:rPr>
        <w:t xml:space="preserve"> </w:t>
      </w:r>
      <w:r w:rsidR="00B447E9" w:rsidRPr="00B447E9">
        <w:rPr>
          <w:rFonts w:ascii="Tahoma" w:hAnsi="Tahoma" w:cs="Tahoma"/>
          <w:sz w:val="20"/>
          <w:szCs w:val="20"/>
        </w:rPr>
        <w:t xml:space="preserve">De las normas glosadas, se advierte que toda persona natural o jurídica que desee </w:t>
      </w:r>
      <w:r w:rsidR="00B447E9" w:rsidRPr="00B447E9">
        <w:rPr>
          <w:rFonts w:ascii="Tahoma" w:hAnsi="Tahoma" w:cs="Tahoma"/>
          <w:b/>
          <w:bCs/>
          <w:i/>
          <w:iCs/>
          <w:sz w:val="20"/>
          <w:szCs w:val="20"/>
          <w:u w:val="single"/>
        </w:rPr>
        <w:t>participar en un proceso de selección</w:t>
      </w:r>
      <w:r w:rsidR="00B447E9" w:rsidRPr="00B447E9">
        <w:rPr>
          <w:rFonts w:ascii="Tahoma" w:hAnsi="Tahoma" w:cs="Tahoma"/>
          <w:sz w:val="20"/>
          <w:szCs w:val="20"/>
        </w:rPr>
        <w:t xml:space="preserve"> o </w:t>
      </w:r>
      <w:r w:rsidR="00B447E9" w:rsidRPr="00B447E9">
        <w:rPr>
          <w:rFonts w:ascii="Tahoma" w:hAnsi="Tahoma" w:cs="Tahoma"/>
          <w:b/>
          <w:bCs/>
          <w:i/>
          <w:iCs/>
          <w:sz w:val="20"/>
          <w:szCs w:val="20"/>
          <w:u w:val="single"/>
        </w:rPr>
        <w:t>contratar con el Estado</w:t>
      </w:r>
      <w:r w:rsidR="00B447E9" w:rsidRPr="00B447E9">
        <w:rPr>
          <w:rFonts w:ascii="Tahoma" w:hAnsi="Tahoma" w:cs="Tahoma"/>
          <w:sz w:val="20"/>
          <w:szCs w:val="20"/>
        </w:rPr>
        <w:t xml:space="preserve"> deberá </w:t>
      </w:r>
      <w:r w:rsidR="00B447E9" w:rsidRPr="00B447E9">
        <w:rPr>
          <w:rFonts w:ascii="Tahoma" w:hAnsi="Tahoma" w:cs="Tahoma"/>
          <w:b/>
          <w:bCs/>
          <w:i/>
          <w:iCs/>
          <w:sz w:val="20"/>
          <w:szCs w:val="20"/>
          <w:u w:val="single"/>
        </w:rPr>
        <w:t>contar con inscripción vigente</w:t>
      </w:r>
      <w:r w:rsidR="00B447E9" w:rsidRPr="00B447E9">
        <w:rPr>
          <w:rFonts w:ascii="Tahoma" w:hAnsi="Tahoma" w:cs="Tahoma"/>
          <w:sz w:val="20"/>
          <w:szCs w:val="20"/>
        </w:rPr>
        <w:t xml:space="preserve">  en el Registro Nacional de Proveedores.</w:t>
      </w:r>
    </w:p>
    <w:p w:rsidR="00B447E9" w:rsidRPr="00B447E9" w:rsidRDefault="00B447E9" w:rsidP="004E20E1">
      <w:pPr>
        <w:pStyle w:val="Textoindependiente"/>
        <w:tabs>
          <w:tab w:val="left" w:pos="2410"/>
        </w:tabs>
        <w:spacing w:after="0" w:line="240" w:lineRule="auto"/>
        <w:ind w:left="567"/>
        <w:jc w:val="both"/>
        <w:rPr>
          <w:rFonts w:ascii="Tahoma" w:hAnsi="Tahoma" w:cs="Tahoma"/>
          <w:sz w:val="20"/>
          <w:szCs w:val="20"/>
        </w:rPr>
      </w:pPr>
    </w:p>
    <w:p w:rsidR="00B447E9" w:rsidRPr="00B447E9" w:rsidRDefault="004E20E1" w:rsidP="004E20E1">
      <w:pPr>
        <w:pStyle w:val="Textoindependiente"/>
        <w:widowControl w:val="0"/>
        <w:numPr>
          <w:ilvl w:val="0"/>
          <w:numId w:val="5"/>
        </w:numPr>
        <w:tabs>
          <w:tab w:val="left" w:pos="567"/>
        </w:tabs>
        <w:suppressAutoHyphens/>
        <w:spacing w:after="0" w:line="240" w:lineRule="auto"/>
        <w:jc w:val="both"/>
        <w:rPr>
          <w:rFonts w:ascii="Tahoma" w:hAnsi="Tahoma" w:cs="Tahoma"/>
          <w:sz w:val="20"/>
          <w:szCs w:val="20"/>
        </w:rPr>
      </w:pPr>
      <w:r>
        <w:rPr>
          <w:rFonts w:ascii="Tahoma" w:hAnsi="Tahoma" w:cs="Tahoma"/>
          <w:sz w:val="20"/>
          <w:szCs w:val="20"/>
        </w:rPr>
        <w:t xml:space="preserve"> </w:t>
      </w:r>
      <w:r w:rsidR="00B447E9" w:rsidRPr="00B447E9">
        <w:rPr>
          <w:rFonts w:ascii="Tahoma" w:hAnsi="Tahoma" w:cs="Tahoma"/>
          <w:sz w:val="20"/>
          <w:szCs w:val="20"/>
        </w:rPr>
        <w:t>Dicha infracción está referida a la supuesta responsabilidad del Postor por haber suscrito un contrato, sin contar con inscripción vigente.</w:t>
      </w:r>
    </w:p>
    <w:p w:rsidR="00B447E9" w:rsidRPr="00B447E9" w:rsidRDefault="00B447E9" w:rsidP="004E20E1">
      <w:pPr>
        <w:spacing w:after="0" w:line="240" w:lineRule="auto"/>
        <w:jc w:val="both"/>
        <w:rPr>
          <w:rFonts w:ascii="Tahoma" w:hAnsi="Tahoma" w:cs="Tahoma"/>
          <w:sz w:val="20"/>
          <w:szCs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 xml:space="preserve">Respecto a ello, el artículo 138º del Reglamento establece lo siguiente: </w:t>
      </w:r>
      <w:r w:rsidRPr="00B447E9">
        <w:rPr>
          <w:rFonts w:ascii="Tahoma" w:hAnsi="Tahoma" w:cs="Tahoma"/>
          <w:i/>
          <w:iCs/>
          <w:sz w:val="20"/>
          <w:szCs w:val="20"/>
        </w:rPr>
        <w:t>“El contrato se perfecciona con la suscripción del documento que lo contiene. Tratándose de adjudicaciones de menor cuantía, distintas a las convocadas para la ejecución y consultoría de obras, el contrato se podrá perfeccionar con la recepción de la orden de compra o de servicio”.</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Ahora bien, en el presente caso, la Entidad convocó un proceso de selección por Adjudicación de Menor Cuantía Nº 089-2010-JNE 1era convocatoria -  Ítem Nº 02, teniendo como objeto la adquisición de bienes; por lo tanto, suscribiéndose el Contrato Nº 186-2010-DCGI/JNE el 14 de setiembre de 2010.</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tabs>
          <w:tab w:val="left" w:pos="567"/>
        </w:tabs>
        <w:suppressAutoHyphens/>
        <w:spacing w:after="0" w:line="240" w:lineRule="auto"/>
        <w:jc w:val="both"/>
        <w:rPr>
          <w:rFonts w:ascii="Tahoma" w:hAnsi="Tahoma" w:cs="Tahoma"/>
          <w:sz w:val="20"/>
          <w:szCs w:val="20"/>
        </w:rPr>
      </w:pPr>
      <w:r w:rsidRPr="00B447E9">
        <w:rPr>
          <w:rFonts w:ascii="Tahoma" w:hAnsi="Tahoma" w:cs="Tahoma"/>
          <w:sz w:val="20"/>
          <w:szCs w:val="20"/>
        </w:rPr>
        <w:t xml:space="preserve">En virtud a ello, a fin de determinar si el contratista denunciado habría incurrido en infracción, es necesario determinar si al momento de suscribir el Contrato, contaba con inscripción vigente en el Registro Nacional de Proveedores. </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De la información obtenida en la Base de Datos del Registro Nacional de Proveedores, se puede verificar que la vigencia de inscripción del contratista ha incluido los siguientes periodos:</w:t>
      </w:r>
    </w:p>
    <w:p w:rsidR="00B447E9" w:rsidRPr="00B447E9" w:rsidRDefault="00B447E9" w:rsidP="004E20E1">
      <w:pPr>
        <w:autoSpaceDE w:val="0"/>
        <w:autoSpaceDN w:val="0"/>
        <w:adjustRightInd w:val="0"/>
        <w:spacing w:after="0" w:line="240" w:lineRule="auto"/>
        <w:jc w:val="both"/>
        <w:rPr>
          <w:rFonts w:ascii="Tahoma" w:hAnsi="Tahoma" w:cs="Tahoma"/>
          <w:color w:val="000000"/>
          <w:sz w:val="20"/>
          <w:szCs w:val="20"/>
        </w:rPr>
      </w:pPr>
    </w:p>
    <w:tbl>
      <w:tblPr>
        <w:tblW w:w="4520" w:type="pct"/>
        <w:tblInd w:w="612" w:type="dxa"/>
        <w:tblLayout w:type="fixed"/>
        <w:tblCellMar>
          <w:top w:w="45" w:type="dxa"/>
          <w:left w:w="45" w:type="dxa"/>
          <w:bottom w:w="45" w:type="dxa"/>
          <w:right w:w="45" w:type="dxa"/>
        </w:tblCellMar>
        <w:tblLook w:val="00BF"/>
      </w:tblPr>
      <w:tblGrid>
        <w:gridCol w:w="3969"/>
        <w:gridCol w:w="1986"/>
        <w:gridCol w:w="1558"/>
      </w:tblGrid>
      <w:tr w:rsidR="00B447E9" w:rsidRPr="00B447E9" w:rsidTr="00B663F7">
        <w:tc>
          <w:tcPr>
            <w:tcW w:w="2641" w:type="pct"/>
            <w:tcBorders>
              <w:top w:val="threeDEmboss" w:sz="6" w:space="0" w:color="E1E1E1"/>
              <w:left w:val="threeDEmboss" w:sz="6" w:space="0" w:color="E1E1E1"/>
              <w:bottom w:val="threeDEmboss" w:sz="6" w:space="0" w:color="E1E1E1"/>
              <w:right w:val="threeDEmboss" w:sz="6" w:space="0" w:color="E1E1E1"/>
            </w:tcBorders>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Trámite</w:t>
            </w:r>
          </w:p>
        </w:tc>
        <w:tc>
          <w:tcPr>
            <w:tcW w:w="1322" w:type="pct"/>
            <w:tcBorders>
              <w:top w:val="threeDEmboss" w:sz="6" w:space="0" w:color="E1E1E1"/>
              <w:left w:val="threeDEmboss" w:sz="6" w:space="0" w:color="E1E1E1"/>
              <w:bottom w:val="threeDEmboss" w:sz="6" w:space="0" w:color="E1E1E1"/>
              <w:right w:val="threeDEmboss" w:sz="6" w:space="0" w:color="E1E1E1"/>
            </w:tcBorders>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Inicio de Vigencia</w:t>
            </w:r>
          </w:p>
        </w:tc>
        <w:tc>
          <w:tcPr>
            <w:tcW w:w="1037" w:type="pct"/>
            <w:tcBorders>
              <w:top w:val="threeDEmboss" w:sz="6" w:space="0" w:color="E1E1E1"/>
              <w:left w:val="threeDEmboss" w:sz="6" w:space="0" w:color="E1E1E1"/>
              <w:bottom w:val="threeDEmboss" w:sz="6" w:space="0" w:color="E1E1E1"/>
              <w:right w:val="threeDEmboss" w:sz="6" w:space="0" w:color="E1E1E1"/>
            </w:tcBorders>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Fin de Vigencia</w:t>
            </w:r>
          </w:p>
        </w:tc>
      </w:tr>
      <w:tr w:rsidR="00B447E9" w:rsidRPr="00B447E9" w:rsidTr="00B663F7">
        <w:tc>
          <w:tcPr>
            <w:tcW w:w="2641"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 xml:space="preserve">INSCRIPCION EN EL RNP ( 2006-0193685 ) </w:t>
            </w:r>
          </w:p>
        </w:tc>
        <w:tc>
          <w:tcPr>
            <w:tcW w:w="1322"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06/09/2006</w:t>
            </w:r>
          </w:p>
        </w:tc>
        <w:tc>
          <w:tcPr>
            <w:tcW w:w="1037"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06/09/2007</w:t>
            </w:r>
          </w:p>
        </w:tc>
      </w:tr>
      <w:tr w:rsidR="00B447E9" w:rsidRPr="00B447E9" w:rsidTr="00B663F7">
        <w:tc>
          <w:tcPr>
            <w:tcW w:w="2641"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 xml:space="preserve">RENOVACION DE INSCRIPCION EN EL RNP - (2007-0283192 ) </w:t>
            </w:r>
          </w:p>
        </w:tc>
        <w:tc>
          <w:tcPr>
            <w:tcW w:w="1322"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07/09/2007</w:t>
            </w:r>
          </w:p>
        </w:tc>
        <w:tc>
          <w:tcPr>
            <w:tcW w:w="1037"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06/09/2008</w:t>
            </w:r>
          </w:p>
        </w:tc>
      </w:tr>
      <w:tr w:rsidR="00B447E9" w:rsidRPr="00B447E9" w:rsidTr="00B663F7">
        <w:tc>
          <w:tcPr>
            <w:tcW w:w="2641"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 xml:space="preserve">RENOVACION DE INSCRIPCION EN EL RNP - (2008-0394523 ) </w:t>
            </w:r>
          </w:p>
        </w:tc>
        <w:tc>
          <w:tcPr>
            <w:tcW w:w="1322"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07/09/2008</w:t>
            </w:r>
          </w:p>
        </w:tc>
        <w:tc>
          <w:tcPr>
            <w:tcW w:w="1037"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07/09/2009</w:t>
            </w:r>
          </w:p>
        </w:tc>
      </w:tr>
      <w:tr w:rsidR="00B447E9" w:rsidRPr="00B447E9" w:rsidTr="00B663F7">
        <w:tc>
          <w:tcPr>
            <w:tcW w:w="2641"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 xml:space="preserve">RENOVACION DE INSCRIPCION EN EL RNP - (2009-0372126 ) </w:t>
            </w:r>
          </w:p>
        </w:tc>
        <w:tc>
          <w:tcPr>
            <w:tcW w:w="1322"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08/09/2009</w:t>
            </w:r>
          </w:p>
        </w:tc>
        <w:tc>
          <w:tcPr>
            <w:tcW w:w="1037"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08/09/2010</w:t>
            </w:r>
          </w:p>
        </w:tc>
      </w:tr>
      <w:tr w:rsidR="00B447E9" w:rsidRPr="00B447E9" w:rsidTr="00B663F7">
        <w:tc>
          <w:tcPr>
            <w:tcW w:w="2641"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color w:val="000000"/>
                <w:sz w:val="18"/>
                <w:szCs w:val="18"/>
              </w:rPr>
            </w:pPr>
            <w:r w:rsidRPr="00B663F7">
              <w:rPr>
                <w:rFonts w:ascii="Tahoma" w:hAnsi="Tahoma" w:cs="Tahoma"/>
                <w:color w:val="000000"/>
                <w:sz w:val="18"/>
                <w:szCs w:val="18"/>
              </w:rPr>
              <w:t xml:space="preserve">RENOVACION DE INSCRIPCION EN EL RNP - (2010-0441987 ) </w:t>
            </w:r>
          </w:p>
        </w:tc>
        <w:tc>
          <w:tcPr>
            <w:tcW w:w="1322"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15/09/2010</w:t>
            </w:r>
          </w:p>
        </w:tc>
        <w:tc>
          <w:tcPr>
            <w:tcW w:w="1037" w:type="pct"/>
            <w:tcBorders>
              <w:top w:val="threeDEmboss" w:sz="6" w:space="0" w:color="E1E1E1"/>
              <w:left w:val="threeDEmboss" w:sz="6" w:space="0" w:color="E1E1E1"/>
              <w:bottom w:val="threeDEmboss" w:sz="6" w:space="0" w:color="E1E1E1"/>
              <w:right w:val="threeDEmboss" w:sz="6" w:space="0" w:color="E1E1E1"/>
            </w:tcBorders>
            <w:shd w:val="clear" w:color="auto" w:fill="FFFFFF"/>
            <w:vAlign w:val="center"/>
          </w:tcPr>
          <w:p w:rsidR="00B447E9" w:rsidRPr="00B663F7" w:rsidRDefault="00B447E9" w:rsidP="004E20E1">
            <w:pPr>
              <w:keepNext/>
              <w:keepLines/>
              <w:autoSpaceDE w:val="0"/>
              <w:autoSpaceDN w:val="0"/>
              <w:adjustRightInd w:val="0"/>
              <w:spacing w:after="0" w:line="240" w:lineRule="auto"/>
              <w:ind w:left="30"/>
              <w:jc w:val="both"/>
              <w:rPr>
                <w:rFonts w:ascii="Tahoma" w:hAnsi="Tahoma" w:cs="Tahoma"/>
                <w:b/>
                <w:bCs/>
                <w:color w:val="000000"/>
                <w:sz w:val="18"/>
                <w:szCs w:val="18"/>
              </w:rPr>
            </w:pPr>
            <w:r w:rsidRPr="00B663F7">
              <w:rPr>
                <w:rFonts w:ascii="Tahoma" w:hAnsi="Tahoma" w:cs="Tahoma"/>
                <w:b/>
                <w:bCs/>
                <w:color w:val="000000"/>
                <w:sz w:val="18"/>
                <w:szCs w:val="18"/>
              </w:rPr>
              <w:t>15/09/2011</w:t>
            </w:r>
          </w:p>
        </w:tc>
      </w:tr>
    </w:tbl>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Como se puede evidenciar de la información descrita, desde el 09 de setiembre al 14 de setiembre de 2010, el contratista no contaba con inscripción vigente en el R.N.P., y por ende no podía presentarse a ningún proceso de selección ni contratar con el Estado en esa fecha; situación que ha sido reconocida por el propio contratista al presentar sus descargos.</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Por consiguiente, al haberse acreditado que en la fecha de suscripción del contrato, el Postor no contaba con inscripción vigente en el Registro Nacional de Proveedores, este Colegiado concluye que se ha configurado la infracción tipificada en el en el literal e) numeral 1) del artículo 237º del Reglamento.</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Como argumento defensa, el Postor ha señalado en su escrito de descargos que a la fecha de inscripción en el proceso de selección y presentación de propuestas, se cumplió con tener la inscripción vigente en el RNP, pues dicha vigencia se extendía desde el 08 de setiembre de 2009 al 08 de setiembre de 2010.</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Al respecto, debe indicarse que efectivamente, a la fecha de registro de participantes y presentación de propuesta, el contratista contaba con inscripción vigente en el R.N.P. que lo habilitaba para realizar dicho actos, sin embargo, como se ha señalado en anteriores pronunciamientos, para la suscripción del contrato también resulta exigible contar con la inscripción vigente, de conformidad a lo descrito es lo numerales 2 y 3 de la presente fundamentación.</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Por otro lado, el contratista indicó que al contar con la documentación correspondiente para la suscripción contractual, se apersonó a suscribir el contrato el 14 de setiembre de 2010, pues al revisar la bandeja de mensajes del RNP que se le asignó, verificó que el trámite de inscripción había sido aprobado, por lo que el representante legal procedió a respectiva suscripción.</w:t>
      </w:r>
    </w:p>
    <w:p w:rsidR="00B447E9" w:rsidRPr="00B447E9" w:rsidRDefault="00B447E9" w:rsidP="004E20E1">
      <w:pPr>
        <w:pStyle w:val="Prrafodelista"/>
        <w:jc w:val="both"/>
        <w:rPr>
          <w:rFonts w:ascii="Tahoma" w:hAnsi="Tahoma" w:cs="Tahoma"/>
          <w:sz w:val="20"/>
        </w:rPr>
      </w:pPr>
    </w:p>
    <w:p w:rsidR="00B663F7" w:rsidRDefault="00B447E9" w:rsidP="00B663F7">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En relación a ello, debe indicarse que de la documentación remitida por el Contratista al presentar sus descargos, obran copias de los correos de aprobación del trámite de renovación en los capítulos de bienes y servicios, respectivamente.</w:t>
      </w:r>
    </w:p>
    <w:p w:rsidR="00B663F7" w:rsidRDefault="00B663F7" w:rsidP="00B663F7">
      <w:pPr>
        <w:pStyle w:val="Prrafodelista"/>
        <w:rPr>
          <w:rFonts w:ascii="Tahoma" w:hAnsi="Tahoma" w:cs="Tahoma"/>
          <w:sz w:val="20"/>
        </w:rPr>
      </w:pPr>
    </w:p>
    <w:p w:rsidR="00B447E9" w:rsidRPr="00B663F7" w:rsidRDefault="00B447E9" w:rsidP="00B663F7">
      <w:pPr>
        <w:pStyle w:val="Textoindependiente"/>
        <w:widowControl w:val="0"/>
        <w:suppressAutoHyphens/>
        <w:spacing w:after="0" w:line="240" w:lineRule="auto"/>
        <w:ind w:left="644"/>
        <w:jc w:val="both"/>
        <w:rPr>
          <w:rFonts w:ascii="Tahoma" w:hAnsi="Tahoma" w:cs="Tahoma"/>
          <w:sz w:val="20"/>
          <w:szCs w:val="20"/>
        </w:rPr>
      </w:pPr>
      <w:r w:rsidRPr="00B663F7">
        <w:rPr>
          <w:rFonts w:ascii="Tahoma" w:hAnsi="Tahoma" w:cs="Tahoma"/>
          <w:sz w:val="20"/>
          <w:szCs w:val="20"/>
        </w:rPr>
        <w:t xml:space="preserve">Del análisis a dichos correos, se puede apreciar que si bien es cierto, fueron remitidos al contratista el 14 de setiembre de 2010, el tenor de los mismos señala lo siguiente: </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Pr="00B447E9" w:rsidRDefault="00B447E9" w:rsidP="00586BB3">
      <w:pPr>
        <w:pStyle w:val="Textoindependiente"/>
        <w:widowControl w:val="0"/>
        <w:suppressAutoHyphens/>
        <w:spacing w:after="0" w:line="240" w:lineRule="auto"/>
        <w:ind w:left="1467" w:right="709" w:firstLine="657"/>
        <w:jc w:val="both"/>
        <w:rPr>
          <w:rFonts w:ascii="Tahoma" w:hAnsi="Tahoma" w:cs="Tahoma"/>
          <w:i/>
          <w:iCs/>
          <w:sz w:val="20"/>
          <w:szCs w:val="20"/>
        </w:rPr>
      </w:pPr>
      <w:r w:rsidRPr="00B447E9">
        <w:rPr>
          <w:rFonts w:ascii="Tahoma" w:hAnsi="Tahoma" w:cs="Tahoma"/>
          <w:i/>
          <w:iCs/>
          <w:sz w:val="20"/>
          <w:szCs w:val="20"/>
        </w:rPr>
        <w:t>“Le comunicamos que el trámite de HA SIDO APROBADO.</w:t>
      </w:r>
    </w:p>
    <w:p w:rsidR="00B447E9" w:rsidRPr="00B447E9" w:rsidRDefault="00B447E9" w:rsidP="00586BB3">
      <w:pPr>
        <w:pStyle w:val="Textoindependiente"/>
        <w:widowControl w:val="0"/>
        <w:suppressAutoHyphens/>
        <w:spacing w:after="0" w:line="240" w:lineRule="auto"/>
        <w:ind w:left="2124" w:right="709"/>
        <w:jc w:val="both"/>
        <w:rPr>
          <w:rFonts w:ascii="Tahoma" w:hAnsi="Tahoma" w:cs="Tahoma"/>
          <w:i/>
          <w:iCs/>
          <w:sz w:val="20"/>
          <w:szCs w:val="20"/>
        </w:rPr>
      </w:pPr>
      <w:r w:rsidRPr="00B447E9">
        <w:rPr>
          <w:rFonts w:ascii="Tahoma" w:hAnsi="Tahoma" w:cs="Tahoma"/>
          <w:i/>
          <w:iCs/>
          <w:sz w:val="20"/>
          <w:szCs w:val="20"/>
        </w:rPr>
        <w:t>Ud. podrá acceder a su constancia única de proveedor a partir del día siguiente de recibida la presente notificación.</w:t>
      </w:r>
    </w:p>
    <w:p w:rsidR="00B447E9" w:rsidRPr="00B447E9" w:rsidRDefault="00B447E9" w:rsidP="00586BB3">
      <w:pPr>
        <w:pStyle w:val="Textoindependiente"/>
        <w:widowControl w:val="0"/>
        <w:tabs>
          <w:tab w:val="left" w:pos="7797"/>
        </w:tabs>
        <w:suppressAutoHyphens/>
        <w:spacing w:after="0" w:line="240" w:lineRule="auto"/>
        <w:ind w:left="2124" w:right="709"/>
        <w:jc w:val="both"/>
        <w:rPr>
          <w:rFonts w:ascii="Tahoma" w:hAnsi="Tahoma" w:cs="Tahoma"/>
          <w:i/>
          <w:iCs/>
          <w:sz w:val="20"/>
          <w:szCs w:val="20"/>
        </w:rPr>
      </w:pPr>
      <w:r w:rsidRPr="00B447E9">
        <w:rPr>
          <w:rFonts w:ascii="Tahoma" w:hAnsi="Tahoma" w:cs="Tahoma"/>
          <w:i/>
          <w:iCs/>
          <w:sz w:val="20"/>
          <w:szCs w:val="20"/>
        </w:rPr>
        <w:t xml:space="preserve">El periodo de vigencia para el presente trámite será desde el </w:t>
      </w:r>
      <w:r w:rsidRPr="00B447E9">
        <w:rPr>
          <w:rFonts w:ascii="Tahoma" w:hAnsi="Tahoma" w:cs="Tahoma"/>
          <w:b/>
          <w:bCs/>
          <w:i/>
          <w:iCs/>
          <w:sz w:val="20"/>
          <w:szCs w:val="20"/>
          <w:u w:val="single"/>
        </w:rPr>
        <w:t>15/09/2010 hasta el 15/09/2011</w:t>
      </w:r>
      <w:r w:rsidRPr="00B447E9">
        <w:rPr>
          <w:rFonts w:ascii="Tahoma" w:hAnsi="Tahoma" w:cs="Tahoma"/>
          <w:i/>
          <w:iCs/>
          <w:sz w:val="20"/>
          <w:szCs w:val="20"/>
        </w:rPr>
        <w:t>.” (El énfasis es nuestro)</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De lo expuesto, se tiene certeza que el Contratista fue debidamente notificado respecto su vigencia de inscripción en el RNP a partir del 15 de setiembre de 2010, como lo ha reconocido expresamente, momento desde el cual podía haber participado en un proceso de selección y contratar con el Estado, sin embargo, antes del referido periodo, no podía realizar ninguno de los actos señalados.</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r w:rsidRPr="00B447E9">
        <w:rPr>
          <w:rFonts w:ascii="Tahoma" w:hAnsi="Tahoma" w:cs="Tahoma"/>
          <w:sz w:val="20"/>
          <w:szCs w:val="20"/>
        </w:rPr>
        <w:t>Lo descrito demuestra que el contratista, a pesar de conocer que su inscripción no contaba con vigencia en el RNP al 14 de setiembre de 2010, se apersonó a suscribir el Contrato, asumiendo por este acto las consecuencias  que la norma prevé.</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Finalmente, el Contratista señaló que con fecha 31 de agosto de 2010, ocho días antes de termino de la vigencia del RNP, se inició el trámite de renovación de inscripción con el respectivo pago; y, en el entendido que la renovación era automática,  se continuó con los trámites para la suscripción del contrato, hasta realizarlo el 14 de setiembre de 2010.</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Lo señalado por el contratista carece de sustento, puesto que, según los propios correos electrónicos remitidos como medio probatorio, tuvo pleno conocimiento que su vigencia sería efectiva a partir del 15 de setiembre de 2010, hecho que lo imposibilitaba de ejercer cualquier derecho en el marco de un proceso de selección, como es suscribir un contrato; y si bien es cierto, pudo haber iniciado su trámite con anterioridad, esto no lo exime de responsabilidad de los hechos denunciados, pues ha quedado corroborado que se vinculó contractualmente con la Entidad sin la vigencia de su inscripción en el RNP.</w:t>
      </w:r>
    </w:p>
    <w:p w:rsidR="004E20E1" w:rsidRDefault="004E20E1" w:rsidP="004E20E1">
      <w:pPr>
        <w:pStyle w:val="Prrafodelista"/>
        <w:jc w:val="both"/>
        <w:rPr>
          <w:rFonts w:ascii="Tahoma" w:hAnsi="Tahoma" w:cs="Tahoma"/>
          <w:sz w:val="20"/>
        </w:rPr>
      </w:pPr>
    </w:p>
    <w:p w:rsid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4E20E1">
        <w:rPr>
          <w:rFonts w:ascii="Tahoma" w:hAnsi="Tahoma" w:cs="Tahoma"/>
          <w:sz w:val="20"/>
          <w:szCs w:val="20"/>
        </w:rPr>
        <w:t>Con relación a lo señalado por el Postor, cabe reiterar que todo proveedor es responsable de que su inscripción en el Registro correspondiente del RNP, se encuentre vigente durante su participación en el proceso de selección hasta la suscripción del contrato, por lo que se debe tener en cuenta el procedimiento y los plazos para la renovación de la inscripción de los Proveedores de Bienes y/o de Servicios en el Registro Nacional de Proveedores (RNP).</w:t>
      </w:r>
    </w:p>
    <w:p w:rsidR="004E20E1" w:rsidRDefault="004E20E1" w:rsidP="004E20E1">
      <w:pPr>
        <w:pStyle w:val="Prrafodelista"/>
        <w:jc w:val="both"/>
        <w:rPr>
          <w:rFonts w:ascii="Tahoma" w:hAnsi="Tahoma" w:cs="Tahoma"/>
          <w:sz w:val="20"/>
        </w:rPr>
      </w:pPr>
    </w:p>
    <w:p w:rsidR="00B447E9" w:rsidRDefault="00B447E9" w:rsidP="004E20E1">
      <w:pPr>
        <w:pStyle w:val="Textoindependiente"/>
        <w:widowControl w:val="0"/>
        <w:suppressAutoHyphens/>
        <w:spacing w:after="0" w:line="240" w:lineRule="auto"/>
        <w:ind w:left="644"/>
        <w:jc w:val="both"/>
        <w:rPr>
          <w:rFonts w:ascii="Tahoma" w:hAnsi="Tahoma" w:cs="Tahoma"/>
          <w:sz w:val="20"/>
          <w:szCs w:val="20"/>
        </w:rPr>
      </w:pPr>
      <w:r w:rsidRPr="004E20E1">
        <w:rPr>
          <w:rFonts w:ascii="Tahoma" w:hAnsi="Tahoma" w:cs="Tahoma"/>
          <w:sz w:val="20"/>
          <w:szCs w:val="20"/>
        </w:rPr>
        <w:t>En tal sentido, era su obligación verificar si su trámite de renovación en el Registro Nacional de Proveedores había sido concluido satisfactoriamente o no.</w:t>
      </w:r>
    </w:p>
    <w:p w:rsidR="004E20E1" w:rsidRDefault="004E20E1" w:rsidP="004E20E1">
      <w:pPr>
        <w:pStyle w:val="Textoindependiente"/>
        <w:widowControl w:val="0"/>
        <w:suppressAutoHyphens/>
        <w:spacing w:after="0" w:line="240" w:lineRule="auto"/>
        <w:ind w:left="644"/>
        <w:jc w:val="both"/>
        <w:rPr>
          <w:rFonts w:ascii="Tahoma" w:hAnsi="Tahoma" w:cs="Tahoma"/>
          <w:sz w:val="20"/>
          <w:szCs w:val="20"/>
        </w:rPr>
      </w:pPr>
    </w:p>
    <w:p w:rsidR="00B447E9" w:rsidRPr="004E20E1" w:rsidRDefault="00B447E9" w:rsidP="004E20E1">
      <w:pPr>
        <w:pStyle w:val="Textoindependiente"/>
        <w:widowControl w:val="0"/>
        <w:suppressAutoHyphens/>
        <w:spacing w:after="0" w:line="240" w:lineRule="auto"/>
        <w:ind w:left="644"/>
        <w:jc w:val="both"/>
        <w:rPr>
          <w:rFonts w:ascii="Tahoma" w:hAnsi="Tahoma" w:cs="Tahoma"/>
          <w:sz w:val="20"/>
          <w:szCs w:val="20"/>
        </w:rPr>
      </w:pPr>
      <w:r w:rsidRPr="004E20E1">
        <w:rPr>
          <w:rFonts w:ascii="Tahoma" w:hAnsi="Tahoma" w:cs="Tahoma"/>
          <w:sz w:val="20"/>
          <w:szCs w:val="20"/>
        </w:rPr>
        <w:t>Por lo tanto, las justificaciones expuestas no pueden ser consideradas circunstancias eximentes de responsabilidad, máxime si se tiene en cuenta que, a pesar que se le envió un correo electrónico indicándosele su vigencia, este hizo caso omiso a ello y suscribió el contrato sin la habilidad correspondiente.</w:t>
      </w:r>
    </w:p>
    <w:p w:rsidR="00B447E9" w:rsidRPr="00B447E9" w:rsidRDefault="00B447E9" w:rsidP="004E20E1">
      <w:pPr>
        <w:spacing w:after="0" w:line="240" w:lineRule="auto"/>
        <w:ind w:left="567"/>
        <w:jc w:val="both"/>
        <w:rPr>
          <w:rFonts w:ascii="Tahoma" w:hAnsi="Tahoma" w:cs="Tahoma"/>
          <w:sz w:val="20"/>
          <w:szCs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lang w:eastAsia="es-PE"/>
        </w:rPr>
        <w:t xml:space="preserve">Considerando lo anteriormente indicado, se ha </w:t>
      </w:r>
      <w:r w:rsidRPr="00B447E9">
        <w:rPr>
          <w:rFonts w:ascii="Tahoma" w:hAnsi="Tahoma" w:cs="Tahoma"/>
          <w:sz w:val="20"/>
          <w:szCs w:val="20"/>
        </w:rPr>
        <w:t xml:space="preserve">confirmado que el Contratista ha suscrito el contrato, derivado de la Adjudicación de Menor Cuantía Nº 089-2010-JNE </w:t>
      </w:r>
      <w:r w:rsidRPr="00B447E9">
        <w:rPr>
          <w:rFonts w:ascii="Tahoma" w:hAnsi="Tahoma" w:cs="Tahoma"/>
          <w:sz w:val="20"/>
          <w:szCs w:val="20"/>
        </w:rPr>
        <w:lastRenderedPageBreak/>
        <w:t xml:space="preserve">1era convocatoria -  Ítem Nº 02, sin contar con inscripción vigente en el Registro Nacional de Proveedores, razón por la que corresponde imponerle sanción administrativa por haber incurrido en la causal prevista en el </w:t>
      </w:r>
      <w:r w:rsidRPr="00B447E9">
        <w:rPr>
          <w:rFonts w:ascii="Tahoma" w:eastAsia="MS Mincho" w:hAnsi="Tahoma" w:cs="Tahoma"/>
          <w:sz w:val="20"/>
          <w:szCs w:val="20"/>
        </w:rPr>
        <w:t>literal e) del numeral 51.1 del artículo 51 de la Ley</w:t>
      </w:r>
      <w:r w:rsidRPr="00B447E9">
        <w:rPr>
          <w:rFonts w:ascii="Tahoma" w:hAnsi="Tahoma" w:cs="Tahoma"/>
          <w:sz w:val="20"/>
          <w:szCs w:val="20"/>
        </w:rPr>
        <w:t xml:space="preserve"> y el literal e) numeral 1) artículo 237 del Reglamento. </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lang w:val="es-ES_tradnl"/>
        </w:rPr>
        <w:t xml:space="preserve">En relación a la graduación de la sanción imponible, el artículo 237º del Reglamento establece que los postores que den lugar a la resolución del contrato serán sancionados con inhabilitación temporal para contratar con el Estado por un periodo no menor de uno (1) año ni mayor de tres (03) años, </w:t>
      </w:r>
      <w:r w:rsidRPr="00B447E9">
        <w:rPr>
          <w:rFonts w:ascii="Tahoma" w:hAnsi="Tahoma" w:cs="Tahoma"/>
          <w:sz w:val="20"/>
          <w:szCs w:val="20"/>
          <w:lang w:val="es-MX"/>
        </w:rPr>
        <w:t xml:space="preserve">conforme a los criterios </w:t>
      </w:r>
      <w:r w:rsidRPr="00B447E9">
        <w:rPr>
          <w:rFonts w:ascii="Tahoma" w:hAnsi="Tahoma" w:cs="Tahoma"/>
          <w:sz w:val="20"/>
          <w:szCs w:val="20"/>
          <w:lang w:val="es-ES_tradnl"/>
        </w:rPr>
        <w:t>para la determinación gradual de la sanción previstos en el artículo 245º del Reglamento.</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 xml:space="preserve">Asimismo, debe tenerse en cuenta que de acuerdo al </w:t>
      </w:r>
      <w:r w:rsidRPr="00B447E9">
        <w:rPr>
          <w:rFonts w:ascii="Tahoma" w:hAnsi="Tahoma" w:cs="Tahoma"/>
          <w:i/>
          <w:iCs/>
          <w:sz w:val="20"/>
          <w:szCs w:val="20"/>
        </w:rPr>
        <w:t>Principio de Razonabilidad</w:t>
      </w:r>
      <w:r w:rsidRPr="00B447E9">
        <w:rPr>
          <w:rFonts w:ascii="Tahoma" w:hAnsi="Tahoma" w:cs="Tahoma"/>
          <w:sz w:val="20"/>
          <w:szCs w:val="20"/>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Bajo las premisas anotadas debe considerarse la conducta procesal del infractor durante la sustanciación del presente procedimiento, al cual se ha apersonado y  ha presentado sus descargos oportunamente, aunque no ha reconocido la comisión de la infracción.</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En el mismo sentido, es necesario que este Tribunal preste atención al daño causado por el infractor.  Así, se debe señalar que el hecho de haber declarado nulo el contrato, originó un retraso en la adquisición de los bienes convocados, de tal manera que dicha demora sí constituye perjuicio hacia los intereses de la Entidad, ya que ha dilatado innecesariamente la atención a sus necesidades, razón por la cual debe considerarse sí ha existido un daño en contra de ella.</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Asimismo, se debe tener en consideración, la cuantía del ítem del presente proceso de selección, por el monto de S/. 64,024.00.</w:t>
      </w:r>
    </w:p>
    <w:p w:rsidR="00B447E9" w:rsidRPr="00B447E9" w:rsidRDefault="00B447E9" w:rsidP="004E20E1">
      <w:pPr>
        <w:pStyle w:val="Prrafodelista"/>
        <w:jc w:val="both"/>
        <w:rPr>
          <w:rFonts w:ascii="Tahoma" w:hAnsi="Tahoma" w:cs="Tahoma"/>
          <w:sz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Finalmente, se debe señalar que el Contratista carece de antecedentes en la comisión de infracciones administrativas, criterio especialmente relevante a efectos de atenuar la sanción a imponerse en casos como éste.</w:t>
      </w:r>
    </w:p>
    <w:p w:rsidR="00B447E9" w:rsidRPr="00B447E9" w:rsidRDefault="00B447E9" w:rsidP="004E20E1">
      <w:pPr>
        <w:pStyle w:val="Textoindependiente"/>
        <w:widowControl w:val="0"/>
        <w:suppressAutoHyphens/>
        <w:spacing w:after="0" w:line="240" w:lineRule="auto"/>
        <w:ind w:left="567"/>
        <w:jc w:val="both"/>
        <w:rPr>
          <w:rFonts w:ascii="Tahoma" w:hAnsi="Tahoma" w:cs="Tahoma"/>
          <w:sz w:val="20"/>
          <w:szCs w:val="20"/>
        </w:rPr>
      </w:pPr>
    </w:p>
    <w:p w:rsidR="00B447E9" w:rsidRPr="00B447E9" w:rsidRDefault="00B447E9" w:rsidP="004E20E1">
      <w:pPr>
        <w:pStyle w:val="Textoindependiente"/>
        <w:widowControl w:val="0"/>
        <w:numPr>
          <w:ilvl w:val="0"/>
          <w:numId w:val="5"/>
        </w:numPr>
        <w:suppressAutoHyphens/>
        <w:spacing w:after="0" w:line="240" w:lineRule="auto"/>
        <w:jc w:val="both"/>
        <w:rPr>
          <w:rFonts w:ascii="Tahoma" w:hAnsi="Tahoma" w:cs="Tahoma"/>
          <w:sz w:val="20"/>
          <w:szCs w:val="20"/>
        </w:rPr>
      </w:pPr>
      <w:r w:rsidRPr="00B447E9">
        <w:rPr>
          <w:rFonts w:ascii="Tahoma" w:hAnsi="Tahoma" w:cs="Tahoma"/>
          <w:sz w:val="20"/>
          <w:szCs w:val="20"/>
        </w:rPr>
        <w:t>En virtud a los hechos expuestos, corresponde imponerle al contratista la sanción administrativa de inhabilitación temporal en sus derechos para participar en procesos de selección y contratar con el Estado por el período de doce (12) meses.</w:t>
      </w:r>
    </w:p>
    <w:p w:rsidR="00B447E9" w:rsidRPr="00B447E9" w:rsidRDefault="00B447E9" w:rsidP="004E20E1">
      <w:pPr>
        <w:tabs>
          <w:tab w:val="num" w:pos="720"/>
        </w:tabs>
        <w:spacing w:after="0" w:line="240" w:lineRule="auto"/>
        <w:ind w:left="720"/>
        <w:jc w:val="both"/>
        <w:rPr>
          <w:rFonts w:ascii="Tahoma" w:hAnsi="Tahoma" w:cs="Tahoma"/>
          <w:sz w:val="20"/>
          <w:szCs w:val="20"/>
        </w:rPr>
      </w:pPr>
    </w:p>
    <w:p w:rsidR="00B447E9" w:rsidRPr="00B447E9" w:rsidRDefault="00B447E9" w:rsidP="004E20E1">
      <w:pPr>
        <w:pStyle w:val="Prrafodelista"/>
        <w:jc w:val="both"/>
        <w:rPr>
          <w:rFonts w:ascii="Tahoma" w:hAnsi="Tahoma" w:cs="Tahoma"/>
          <w:sz w:val="20"/>
        </w:rPr>
      </w:pPr>
    </w:p>
    <w:p w:rsidR="00B447E9" w:rsidRPr="00B447E9" w:rsidRDefault="00B447E9" w:rsidP="004E20E1">
      <w:pPr>
        <w:spacing w:after="0" w:line="240" w:lineRule="auto"/>
        <w:ind w:left="-284" w:firstLine="360"/>
        <w:jc w:val="both"/>
        <w:rPr>
          <w:rFonts w:ascii="Tahoma" w:hAnsi="Tahoma" w:cs="Tahoma"/>
          <w:sz w:val="20"/>
          <w:szCs w:val="20"/>
        </w:rPr>
      </w:pPr>
      <w:r w:rsidRPr="00B447E9">
        <w:rPr>
          <w:rFonts w:ascii="Tahoma" w:hAnsi="Tahoma" w:cs="Tahoma"/>
          <w:sz w:val="20"/>
          <w:szCs w:val="20"/>
        </w:rPr>
        <w:t xml:space="preserve">Por estos fundamentos, de conformidad con el informe del Vocal Ponente Dra. Janette Elke Ramírez Maynetto, y la intervención de los Vocales Dr. Carlos Navas Rondón y Dra. Ada Basulto </w:t>
      </w:r>
      <w:r w:rsidRPr="00B447E9">
        <w:rPr>
          <w:rFonts w:ascii="Tahoma" w:hAnsi="Tahoma" w:cs="Tahoma"/>
          <w:sz w:val="20"/>
          <w:szCs w:val="20"/>
        </w:rPr>
        <w:lastRenderedPageBreak/>
        <w:t>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B447E9" w:rsidRPr="00B447E9" w:rsidRDefault="00B447E9" w:rsidP="004E20E1">
      <w:pPr>
        <w:spacing w:after="0" w:line="240" w:lineRule="auto"/>
        <w:jc w:val="both"/>
        <w:rPr>
          <w:rFonts w:ascii="Tahoma" w:hAnsi="Tahoma" w:cs="Tahoma"/>
          <w:sz w:val="20"/>
          <w:szCs w:val="20"/>
        </w:rPr>
      </w:pPr>
    </w:p>
    <w:p w:rsidR="00B447E9" w:rsidRPr="00B447E9" w:rsidRDefault="00B447E9" w:rsidP="004E20E1">
      <w:pPr>
        <w:spacing w:after="0" w:line="240" w:lineRule="auto"/>
        <w:ind w:right="-315"/>
        <w:jc w:val="both"/>
        <w:rPr>
          <w:rFonts w:ascii="Tahoma" w:hAnsi="Tahoma" w:cs="Tahoma"/>
          <w:b/>
          <w:sz w:val="20"/>
          <w:szCs w:val="20"/>
        </w:rPr>
      </w:pPr>
      <w:r w:rsidRPr="00B447E9">
        <w:rPr>
          <w:rFonts w:ascii="Tahoma" w:hAnsi="Tahoma" w:cs="Tahoma"/>
          <w:b/>
          <w:sz w:val="20"/>
          <w:szCs w:val="20"/>
        </w:rPr>
        <w:t>LA SALA RESUELVE:</w:t>
      </w:r>
    </w:p>
    <w:p w:rsidR="00B447E9" w:rsidRPr="00B447E9" w:rsidRDefault="00B447E9" w:rsidP="004E20E1">
      <w:pPr>
        <w:pStyle w:val="Prrafodelista"/>
        <w:ind w:left="426"/>
        <w:jc w:val="both"/>
        <w:rPr>
          <w:rFonts w:ascii="Tahoma" w:hAnsi="Tahoma" w:cs="Tahoma"/>
          <w:sz w:val="20"/>
        </w:rPr>
      </w:pPr>
    </w:p>
    <w:p w:rsidR="00B447E9" w:rsidRPr="00B447E9" w:rsidRDefault="00B447E9" w:rsidP="004E20E1">
      <w:pPr>
        <w:pStyle w:val="Prrafodelista"/>
        <w:numPr>
          <w:ilvl w:val="0"/>
          <w:numId w:val="16"/>
        </w:numPr>
        <w:ind w:left="426" w:hanging="426"/>
        <w:jc w:val="both"/>
        <w:rPr>
          <w:rFonts w:ascii="Tahoma" w:hAnsi="Tahoma" w:cs="Tahoma"/>
          <w:sz w:val="20"/>
        </w:rPr>
      </w:pPr>
      <w:r w:rsidRPr="00B447E9">
        <w:rPr>
          <w:rFonts w:ascii="Tahoma" w:hAnsi="Tahoma" w:cs="Tahoma"/>
          <w:sz w:val="20"/>
        </w:rPr>
        <w:t>Imponer a la empresa SECURE SOFT S.A.C. sanción administrativa de inhabilitación temporal en sus derechos para participar en procesos de selección y contratar con el Estado, por el periodo de doce (12) meses, la cual entrará en vigencia a partir del sexto día hábil siguiente de notificada la presente Resolución.</w:t>
      </w:r>
    </w:p>
    <w:p w:rsidR="00B447E9" w:rsidRPr="00B447E9" w:rsidRDefault="00B447E9" w:rsidP="004E20E1">
      <w:pPr>
        <w:pStyle w:val="Prrafodelista"/>
        <w:ind w:left="426"/>
        <w:jc w:val="both"/>
        <w:rPr>
          <w:rFonts w:ascii="Tahoma" w:hAnsi="Tahoma" w:cs="Tahoma"/>
          <w:sz w:val="20"/>
        </w:rPr>
      </w:pPr>
    </w:p>
    <w:p w:rsidR="00B447E9" w:rsidRPr="00B447E9" w:rsidRDefault="00B447E9" w:rsidP="004E20E1">
      <w:pPr>
        <w:pStyle w:val="Prrafodelista"/>
        <w:numPr>
          <w:ilvl w:val="0"/>
          <w:numId w:val="16"/>
        </w:numPr>
        <w:ind w:left="426" w:hanging="426"/>
        <w:jc w:val="both"/>
        <w:rPr>
          <w:rFonts w:ascii="Tahoma" w:hAnsi="Tahoma" w:cs="Tahoma"/>
          <w:sz w:val="20"/>
        </w:rPr>
      </w:pPr>
      <w:r w:rsidRPr="00B447E9">
        <w:rPr>
          <w:rFonts w:ascii="Tahoma" w:hAnsi="Tahoma" w:cs="Tahoma"/>
          <w:sz w:val="20"/>
        </w:rPr>
        <w:t xml:space="preserve">Comunicar la presente resolución al Registro Nacional de Proveedores del Organismo Supervisor de las Contrataciones del Estado (OSCE). </w:t>
      </w:r>
    </w:p>
    <w:p w:rsidR="00B447E9" w:rsidRPr="00B447E9" w:rsidRDefault="00B447E9" w:rsidP="004E20E1">
      <w:pPr>
        <w:tabs>
          <w:tab w:val="num" w:pos="720"/>
        </w:tabs>
        <w:spacing w:after="0" w:line="240" w:lineRule="auto"/>
        <w:jc w:val="both"/>
        <w:rPr>
          <w:rFonts w:ascii="Tahoma" w:hAnsi="Tahoma" w:cs="Tahoma"/>
          <w:sz w:val="20"/>
          <w:szCs w:val="20"/>
        </w:rPr>
      </w:pPr>
    </w:p>
    <w:p w:rsidR="00B447E9" w:rsidRPr="00B447E9" w:rsidRDefault="00B447E9" w:rsidP="004E20E1">
      <w:pPr>
        <w:pStyle w:val="Ttulo3"/>
        <w:spacing w:before="0" w:after="0" w:line="240" w:lineRule="auto"/>
        <w:jc w:val="both"/>
        <w:rPr>
          <w:rFonts w:ascii="Tahoma" w:hAnsi="Tahoma" w:cs="Tahoma"/>
          <w:b w:val="0"/>
          <w:bCs w:val="0"/>
          <w:sz w:val="20"/>
          <w:szCs w:val="20"/>
        </w:rPr>
      </w:pPr>
      <w:r w:rsidRPr="00B447E9">
        <w:rPr>
          <w:rFonts w:ascii="Tahoma" w:hAnsi="Tahoma" w:cs="Tahoma"/>
          <w:b w:val="0"/>
          <w:sz w:val="20"/>
          <w:szCs w:val="20"/>
        </w:rPr>
        <w:t>Regístrese, comuníquese y publíquese.</w:t>
      </w: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ind w:left="2832" w:firstLine="708"/>
        <w:jc w:val="both"/>
        <w:rPr>
          <w:rFonts w:ascii="Tahoma" w:hAnsi="Tahoma" w:cs="Tahoma"/>
          <w:b/>
          <w:shadow/>
          <w:sz w:val="20"/>
          <w:szCs w:val="20"/>
        </w:rPr>
      </w:pPr>
      <w:r w:rsidRPr="00B447E9">
        <w:rPr>
          <w:rFonts w:ascii="Tahoma" w:hAnsi="Tahoma" w:cs="Tahoma"/>
          <w:b/>
          <w:shadow/>
          <w:sz w:val="20"/>
          <w:szCs w:val="20"/>
        </w:rPr>
        <w:t>PRESIDENTE</w:t>
      </w: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b/>
          <w:shadow/>
          <w:sz w:val="20"/>
          <w:szCs w:val="20"/>
        </w:rPr>
      </w:pPr>
    </w:p>
    <w:p w:rsidR="00B447E9" w:rsidRPr="00B447E9" w:rsidRDefault="00B447E9" w:rsidP="004E20E1">
      <w:pPr>
        <w:spacing w:after="0" w:line="240" w:lineRule="auto"/>
        <w:jc w:val="both"/>
        <w:rPr>
          <w:rFonts w:ascii="Tahoma" w:hAnsi="Tahoma" w:cs="Tahoma"/>
          <w:shadow/>
          <w:sz w:val="20"/>
          <w:szCs w:val="20"/>
        </w:rPr>
      </w:pPr>
      <w:r w:rsidRPr="00B447E9">
        <w:rPr>
          <w:rFonts w:ascii="Tahoma" w:hAnsi="Tahoma" w:cs="Tahoma"/>
          <w:b/>
          <w:shadow/>
          <w:sz w:val="20"/>
          <w:szCs w:val="20"/>
        </w:rPr>
        <w:t xml:space="preserve">                   VOCAL</w:t>
      </w:r>
      <w:r w:rsidRPr="00B447E9">
        <w:rPr>
          <w:rFonts w:ascii="Tahoma" w:hAnsi="Tahoma" w:cs="Tahoma"/>
          <w:b/>
          <w:shadow/>
          <w:sz w:val="20"/>
          <w:szCs w:val="20"/>
        </w:rPr>
        <w:tab/>
      </w:r>
      <w:r w:rsidRPr="00B447E9">
        <w:rPr>
          <w:rFonts w:ascii="Tahoma" w:hAnsi="Tahoma" w:cs="Tahoma"/>
          <w:b/>
          <w:shadow/>
          <w:sz w:val="20"/>
          <w:szCs w:val="20"/>
        </w:rPr>
        <w:tab/>
      </w:r>
      <w:r w:rsidRPr="00B447E9">
        <w:rPr>
          <w:rFonts w:ascii="Tahoma" w:hAnsi="Tahoma" w:cs="Tahoma"/>
          <w:b/>
          <w:shadow/>
          <w:sz w:val="20"/>
          <w:szCs w:val="20"/>
        </w:rPr>
        <w:tab/>
      </w:r>
      <w:r w:rsidRPr="00B447E9">
        <w:rPr>
          <w:rFonts w:ascii="Tahoma" w:hAnsi="Tahoma" w:cs="Tahoma"/>
          <w:b/>
          <w:shadow/>
          <w:sz w:val="20"/>
          <w:szCs w:val="20"/>
        </w:rPr>
        <w:tab/>
      </w:r>
      <w:r w:rsidRPr="00B447E9">
        <w:rPr>
          <w:rFonts w:ascii="Tahoma" w:hAnsi="Tahoma" w:cs="Tahoma"/>
          <w:b/>
          <w:shadow/>
          <w:sz w:val="20"/>
          <w:szCs w:val="20"/>
        </w:rPr>
        <w:tab/>
      </w:r>
      <w:r w:rsidRPr="00B447E9">
        <w:rPr>
          <w:rFonts w:ascii="Tahoma" w:hAnsi="Tahoma" w:cs="Tahoma"/>
          <w:b/>
          <w:shadow/>
          <w:sz w:val="20"/>
          <w:szCs w:val="20"/>
        </w:rPr>
        <w:tab/>
      </w:r>
      <w:r w:rsidRPr="00B447E9">
        <w:rPr>
          <w:rFonts w:ascii="Tahoma" w:hAnsi="Tahoma" w:cs="Tahoma"/>
          <w:b/>
          <w:shadow/>
          <w:sz w:val="20"/>
          <w:szCs w:val="20"/>
        </w:rPr>
        <w:tab/>
      </w:r>
      <w:r w:rsidRPr="00B447E9">
        <w:rPr>
          <w:rFonts w:ascii="Tahoma" w:hAnsi="Tahoma" w:cs="Tahoma"/>
          <w:b/>
          <w:shadow/>
          <w:sz w:val="20"/>
          <w:szCs w:val="20"/>
        </w:rPr>
        <w:tab/>
        <w:t xml:space="preserve">VOCAL                                                                 </w:t>
      </w:r>
    </w:p>
    <w:p w:rsidR="00B447E9" w:rsidRPr="00B447E9" w:rsidRDefault="00B447E9" w:rsidP="004E20E1">
      <w:pPr>
        <w:spacing w:after="0" w:line="240" w:lineRule="auto"/>
        <w:jc w:val="both"/>
        <w:rPr>
          <w:rFonts w:ascii="Tahoma" w:hAnsi="Tahoma" w:cs="Tahoma"/>
          <w:sz w:val="20"/>
          <w:szCs w:val="20"/>
        </w:rPr>
      </w:pPr>
    </w:p>
    <w:p w:rsidR="00B447E9" w:rsidRPr="00B447E9" w:rsidRDefault="00B447E9" w:rsidP="004E20E1">
      <w:pPr>
        <w:spacing w:after="0" w:line="240" w:lineRule="auto"/>
        <w:jc w:val="both"/>
        <w:rPr>
          <w:rFonts w:ascii="Tahoma" w:hAnsi="Tahoma" w:cs="Tahoma"/>
          <w:sz w:val="20"/>
          <w:szCs w:val="20"/>
        </w:rPr>
      </w:pPr>
    </w:p>
    <w:p w:rsidR="00B447E9" w:rsidRPr="00B447E9" w:rsidRDefault="00B447E9" w:rsidP="004E20E1">
      <w:pPr>
        <w:spacing w:after="0" w:line="240" w:lineRule="auto"/>
        <w:jc w:val="both"/>
        <w:rPr>
          <w:rFonts w:ascii="Tahoma" w:hAnsi="Tahoma" w:cs="Tahoma"/>
          <w:sz w:val="20"/>
          <w:szCs w:val="20"/>
        </w:rPr>
      </w:pPr>
    </w:p>
    <w:p w:rsidR="00B447E9" w:rsidRPr="00B447E9" w:rsidRDefault="00B447E9" w:rsidP="004E20E1">
      <w:pPr>
        <w:spacing w:after="0" w:line="240" w:lineRule="auto"/>
        <w:jc w:val="both"/>
        <w:rPr>
          <w:rFonts w:ascii="Tahoma" w:hAnsi="Tahoma" w:cs="Tahoma"/>
          <w:sz w:val="20"/>
          <w:szCs w:val="20"/>
        </w:rPr>
      </w:pPr>
      <w:r w:rsidRPr="00B447E9">
        <w:rPr>
          <w:rFonts w:ascii="Tahoma" w:hAnsi="Tahoma" w:cs="Tahoma"/>
          <w:sz w:val="20"/>
          <w:szCs w:val="20"/>
        </w:rPr>
        <w:t>ss.</w:t>
      </w:r>
    </w:p>
    <w:p w:rsidR="00B447E9" w:rsidRPr="00B447E9" w:rsidRDefault="00B447E9" w:rsidP="004E20E1">
      <w:pPr>
        <w:spacing w:after="0" w:line="240" w:lineRule="auto"/>
        <w:jc w:val="both"/>
        <w:rPr>
          <w:rFonts w:ascii="Tahoma" w:hAnsi="Tahoma" w:cs="Tahoma"/>
          <w:sz w:val="20"/>
          <w:szCs w:val="20"/>
        </w:rPr>
      </w:pPr>
      <w:r w:rsidRPr="00B447E9">
        <w:rPr>
          <w:rFonts w:ascii="Tahoma" w:hAnsi="Tahoma" w:cs="Tahoma"/>
          <w:sz w:val="20"/>
          <w:szCs w:val="20"/>
        </w:rPr>
        <w:t>Navas Rondón.</w:t>
      </w:r>
    </w:p>
    <w:p w:rsidR="00B447E9" w:rsidRPr="00B447E9" w:rsidRDefault="00B447E9" w:rsidP="004E20E1">
      <w:pPr>
        <w:spacing w:after="0" w:line="240" w:lineRule="auto"/>
        <w:jc w:val="both"/>
        <w:rPr>
          <w:rFonts w:ascii="Tahoma" w:hAnsi="Tahoma" w:cs="Tahoma"/>
          <w:sz w:val="20"/>
          <w:szCs w:val="20"/>
        </w:rPr>
      </w:pPr>
      <w:r w:rsidRPr="00B447E9">
        <w:rPr>
          <w:rFonts w:ascii="Tahoma" w:hAnsi="Tahoma" w:cs="Tahoma"/>
          <w:sz w:val="20"/>
          <w:szCs w:val="20"/>
        </w:rPr>
        <w:t>Ramírez Maynetto.</w:t>
      </w:r>
    </w:p>
    <w:p w:rsidR="00B447E9" w:rsidRPr="00B447E9" w:rsidRDefault="00B447E9" w:rsidP="004E20E1">
      <w:pPr>
        <w:spacing w:after="0" w:line="240" w:lineRule="auto"/>
        <w:jc w:val="both"/>
        <w:rPr>
          <w:rFonts w:ascii="Tahoma" w:hAnsi="Tahoma" w:cs="Tahoma"/>
          <w:sz w:val="20"/>
          <w:szCs w:val="20"/>
        </w:rPr>
      </w:pPr>
      <w:r w:rsidRPr="00B447E9">
        <w:rPr>
          <w:rFonts w:ascii="Tahoma" w:hAnsi="Tahoma" w:cs="Tahoma"/>
          <w:sz w:val="20"/>
          <w:szCs w:val="20"/>
        </w:rPr>
        <w:t>Basulto Liewald.</w:t>
      </w:r>
    </w:p>
    <w:p w:rsidR="00B447E9" w:rsidRPr="00B447E9" w:rsidRDefault="00B447E9" w:rsidP="004E20E1">
      <w:pPr>
        <w:spacing w:after="0" w:line="240" w:lineRule="auto"/>
        <w:jc w:val="both"/>
        <w:rPr>
          <w:rFonts w:ascii="Tahoma" w:hAnsi="Tahoma" w:cs="Tahoma"/>
          <w:sz w:val="20"/>
          <w:szCs w:val="20"/>
        </w:rPr>
      </w:pPr>
    </w:p>
    <w:p w:rsidR="00B447E9" w:rsidRPr="00B447E9" w:rsidRDefault="00B447E9" w:rsidP="004E20E1">
      <w:pPr>
        <w:spacing w:after="0" w:line="240" w:lineRule="auto"/>
        <w:jc w:val="both"/>
        <w:rPr>
          <w:rFonts w:ascii="Tahoma" w:hAnsi="Tahoma" w:cs="Tahoma"/>
          <w:sz w:val="20"/>
          <w:szCs w:val="20"/>
        </w:rPr>
      </w:pPr>
    </w:p>
    <w:p w:rsidR="004E20E1" w:rsidRPr="00B447E9" w:rsidRDefault="004E20E1" w:rsidP="004E20E1">
      <w:pPr>
        <w:spacing w:after="0" w:line="240" w:lineRule="auto"/>
        <w:jc w:val="both"/>
        <w:rPr>
          <w:rFonts w:ascii="Tahoma" w:hAnsi="Tahoma" w:cs="Tahoma"/>
          <w:sz w:val="20"/>
          <w:szCs w:val="20"/>
        </w:rPr>
      </w:pPr>
    </w:p>
    <w:sectPr w:rsidR="004E20E1" w:rsidRPr="00B447E9" w:rsidSect="004E20E1">
      <w:headerReference w:type="default" r:id="rId7"/>
      <w:footerReference w:type="default" r:id="rId8"/>
      <w:pgSz w:w="11906" w:h="16838"/>
      <w:pgMar w:top="2836" w:right="1700"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DCA" w:rsidRDefault="00DF1DCA" w:rsidP="00B447E9">
      <w:pPr>
        <w:spacing w:after="0" w:line="240" w:lineRule="auto"/>
      </w:pPr>
      <w:r>
        <w:separator/>
      </w:r>
    </w:p>
  </w:endnote>
  <w:endnote w:type="continuationSeparator" w:id="1">
    <w:p w:rsidR="00DF1DCA" w:rsidRDefault="00DF1DCA" w:rsidP="00B4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BB3" w:rsidRPr="00FD5A0C" w:rsidRDefault="00586BB3">
    <w:pPr>
      <w:pStyle w:val="Piedepgina"/>
      <w:jc w:val="center"/>
      <w:rPr>
        <w:rFonts w:ascii="Tahoma" w:hAnsi="Tahoma" w:cs="Tahoma"/>
        <w:i/>
        <w:sz w:val="18"/>
        <w:szCs w:val="18"/>
      </w:rPr>
    </w:pPr>
    <w:r w:rsidRPr="00FD5A0C">
      <w:rPr>
        <w:rFonts w:ascii="Tahoma" w:hAnsi="Tahoma" w:cs="Tahoma"/>
        <w:i/>
        <w:sz w:val="18"/>
        <w:szCs w:val="18"/>
      </w:rPr>
      <w:t xml:space="preserve">Página </w:t>
    </w:r>
    <w:r w:rsidR="009A06DC" w:rsidRPr="00FD5A0C">
      <w:rPr>
        <w:rFonts w:ascii="Tahoma" w:hAnsi="Tahoma" w:cs="Tahoma"/>
        <w:i/>
        <w:sz w:val="18"/>
        <w:szCs w:val="18"/>
      </w:rPr>
      <w:fldChar w:fldCharType="begin"/>
    </w:r>
    <w:r w:rsidRPr="00FD5A0C">
      <w:rPr>
        <w:rFonts w:ascii="Tahoma" w:hAnsi="Tahoma" w:cs="Tahoma"/>
        <w:i/>
        <w:sz w:val="18"/>
        <w:szCs w:val="18"/>
      </w:rPr>
      <w:instrText>PAGE</w:instrText>
    </w:r>
    <w:r w:rsidR="009A06DC" w:rsidRPr="00FD5A0C">
      <w:rPr>
        <w:rFonts w:ascii="Tahoma" w:hAnsi="Tahoma" w:cs="Tahoma"/>
        <w:i/>
        <w:sz w:val="18"/>
        <w:szCs w:val="18"/>
      </w:rPr>
      <w:fldChar w:fldCharType="separate"/>
    </w:r>
    <w:r w:rsidR="003B3344">
      <w:rPr>
        <w:rFonts w:ascii="Tahoma" w:hAnsi="Tahoma" w:cs="Tahoma"/>
        <w:i/>
        <w:noProof/>
        <w:sz w:val="18"/>
        <w:szCs w:val="18"/>
      </w:rPr>
      <w:t>1</w:t>
    </w:r>
    <w:r w:rsidR="009A06DC" w:rsidRPr="00FD5A0C">
      <w:rPr>
        <w:rFonts w:ascii="Tahoma" w:hAnsi="Tahoma" w:cs="Tahoma"/>
        <w:i/>
        <w:sz w:val="18"/>
        <w:szCs w:val="18"/>
      </w:rPr>
      <w:fldChar w:fldCharType="end"/>
    </w:r>
    <w:r w:rsidRPr="00FD5A0C">
      <w:rPr>
        <w:rFonts w:ascii="Tahoma" w:hAnsi="Tahoma" w:cs="Tahoma"/>
        <w:i/>
        <w:sz w:val="18"/>
        <w:szCs w:val="18"/>
      </w:rPr>
      <w:t xml:space="preserve"> de </w:t>
    </w:r>
    <w:r w:rsidR="009A06DC" w:rsidRPr="00FD5A0C">
      <w:rPr>
        <w:rFonts w:ascii="Tahoma" w:hAnsi="Tahoma" w:cs="Tahoma"/>
        <w:i/>
        <w:sz w:val="18"/>
        <w:szCs w:val="18"/>
      </w:rPr>
      <w:fldChar w:fldCharType="begin"/>
    </w:r>
    <w:r w:rsidRPr="00FD5A0C">
      <w:rPr>
        <w:rFonts w:ascii="Tahoma" w:hAnsi="Tahoma" w:cs="Tahoma"/>
        <w:i/>
        <w:sz w:val="18"/>
        <w:szCs w:val="18"/>
      </w:rPr>
      <w:instrText>NUMPAGES</w:instrText>
    </w:r>
    <w:r w:rsidR="009A06DC" w:rsidRPr="00FD5A0C">
      <w:rPr>
        <w:rFonts w:ascii="Tahoma" w:hAnsi="Tahoma" w:cs="Tahoma"/>
        <w:i/>
        <w:sz w:val="18"/>
        <w:szCs w:val="18"/>
      </w:rPr>
      <w:fldChar w:fldCharType="separate"/>
    </w:r>
    <w:r w:rsidR="003B3344">
      <w:rPr>
        <w:rFonts w:ascii="Tahoma" w:hAnsi="Tahoma" w:cs="Tahoma"/>
        <w:i/>
        <w:noProof/>
        <w:sz w:val="18"/>
        <w:szCs w:val="18"/>
      </w:rPr>
      <w:t>7</w:t>
    </w:r>
    <w:r w:rsidR="009A06DC" w:rsidRPr="00FD5A0C">
      <w:rPr>
        <w:rFonts w:ascii="Tahoma" w:hAnsi="Tahoma" w:cs="Tahoma"/>
        <w:i/>
        <w:sz w:val="18"/>
        <w:szCs w:val="18"/>
      </w:rPr>
      <w:fldChar w:fldCharType="end"/>
    </w:r>
  </w:p>
  <w:p w:rsidR="00586BB3" w:rsidRDefault="00586BB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DCA" w:rsidRDefault="00DF1DCA" w:rsidP="00B447E9">
      <w:pPr>
        <w:spacing w:after="0" w:line="240" w:lineRule="auto"/>
      </w:pPr>
      <w:r>
        <w:separator/>
      </w:r>
    </w:p>
  </w:footnote>
  <w:footnote w:type="continuationSeparator" w:id="1">
    <w:p w:rsidR="00DF1DCA" w:rsidRDefault="00DF1DCA" w:rsidP="00B447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344" w:rsidRDefault="003B3344" w:rsidP="003B3344">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3B3344" w:rsidRDefault="003B3344" w:rsidP="003B3344">
    <w:pPr>
      <w:pStyle w:val="Encabezado"/>
      <w:rPr>
        <w:noProof/>
      </w:rPr>
    </w:pPr>
  </w:p>
  <w:p w:rsidR="003B3344" w:rsidRDefault="003B3344" w:rsidP="003B3344">
    <w:pPr>
      <w:pStyle w:val="Encabezado"/>
      <w:jc w:val="center"/>
      <w:rPr>
        <w:rFonts w:ascii="Monotype Corsiva" w:hAnsi="Monotype Corsiva"/>
        <w:b/>
        <w:sz w:val="44"/>
        <w:szCs w:val="44"/>
      </w:rPr>
    </w:pPr>
  </w:p>
  <w:p w:rsidR="003B3344" w:rsidRDefault="003B3344" w:rsidP="003B3344">
    <w:pPr>
      <w:pStyle w:val="Encabezado"/>
      <w:jc w:val="center"/>
    </w:pPr>
    <w:r>
      <w:rPr>
        <w:rFonts w:ascii="Monotype Corsiva" w:hAnsi="Monotype Corsiva"/>
        <w:b/>
        <w:sz w:val="44"/>
        <w:szCs w:val="44"/>
      </w:rPr>
      <w:t xml:space="preserve">Resolución Nº   </w:t>
    </w:r>
    <w:r>
      <w:rPr>
        <w:rFonts w:ascii="Tahoma" w:hAnsi="Tahoma" w:cs="Tahoma"/>
        <w:b/>
        <w:sz w:val="44"/>
        <w:szCs w:val="44"/>
      </w:rPr>
      <w:t>1322-2011-TC-S1</w:t>
    </w:r>
  </w:p>
  <w:p w:rsidR="003B3344" w:rsidRDefault="003B334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D4CD558"/>
    <w:lvl w:ilvl="0" w:tplc="3D7E8B80">
      <w:start w:val="1"/>
      <w:numFmt w:val="decimal"/>
      <w:lvlText w:val="%1."/>
      <w:lvlJc w:val="left"/>
      <w:pPr>
        <w:tabs>
          <w:tab w:val="num" w:pos="644"/>
        </w:tabs>
        <w:ind w:left="644" w:hanging="360"/>
      </w:pPr>
      <w:rPr>
        <w:b/>
        <w:bCs/>
      </w:rPr>
    </w:lvl>
    <w:lvl w:ilvl="1" w:tplc="0C0A0019">
      <w:start w:val="1"/>
      <w:numFmt w:val="lowerLetter"/>
      <w:lvlText w:val="%2."/>
      <w:lvlJc w:val="left"/>
      <w:pPr>
        <w:tabs>
          <w:tab w:val="num" w:pos="1620"/>
        </w:tabs>
        <w:ind w:left="1620" w:hanging="360"/>
      </w:pPr>
    </w:lvl>
    <w:lvl w:ilvl="2" w:tplc="0C0A001B">
      <w:start w:val="1"/>
      <w:numFmt w:val="decimal"/>
      <w:lvlText w:val="%3."/>
      <w:lvlJc w:val="left"/>
      <w:pPr>
        <w:tabs>
          <w:tab w:val="num" w:pos="2340"/>
        </w:tabs>
        <w:ind w:left="2340" w:hanging="360"/>
      </w:pPr>
    </w:lvl>
    <w:lvl w:ilvl="3" w:tplc="0C0A000F">
      <w:start w:val="1"/>
      <w:numFmt w:val="decimal"/>
      <w:lvlText w:val="%4."/>
      <w:lvlJc w:val="left"/>
      <w:pPr>
        <w:tabs>
          <w:tab w:val="num" w:pos="900"/>
        </w:tabs>
        <w:ind w:left="900" w:hanging="360"/>
      </w:pPr>
      <w:rPr>
        <w:b/>
        <w:bCs/>
      </w:rPr>
    </w:lvl>
    <w:lvl w:ilvl="4" w:tplc="0C0A0019">
      <w:start w:val="1"/>
      <w:numFmt w:val="decimal"/>
      <w:lvlText w:val="%5."/>
      <w:lvlJc w:val="left"/>
      <w:pPr>
        <w:tabs>
          <w:tab w:val="num" w:pos="3780"/>
        </w:tabs>
        <w:ind w:left="3780" w:hanging="360"/>
      </w:pPr>
    </w:lvl>
    <w:lvl w:ilvl="5" w:tplc="0C0A001B">
      <w:start w:val="1"/>
      <w:numFmt w:val="decimal"/>
      <w:lvlText w:val="%6."/>
      <w:lvlJc w:val="left"/>
      <w:pPr>
        <w:tabs>
          <w:tab w:val="num" w:pos="4500"/>
        </w:tabs>
        <w:ind w:left="4500" w:hanging="360"/>
      </w:pPr>
    </w:lvl>
    <w:lvl w:ilvl="6" w:tplc="0C0A000F">
      <w:start w:val="1"/>
      <w:numFmt w:val="decimal"/>
      <w:lvlText w:val="%7."/>
      <w:lvlJc w:val="left"/>
      <w:pPr>
        <w:tabs>
          <w:tab w:val="num" w:pos="5220"/>
        </w:tabs>
        <w:ind w:left="5220" w:hanging="360"/>
      </w:pPr>
    </w:lvl>
    <w:lvl w:ilvl="7" w:tplc="0C0A0019">
      <w:start w:val="1"/>
      <w:numFmt w:val="decimal"/>
      <w:lvlText w:val="%8."/>
      <w:lvlJc w:val="left"/>
      <w:pPr>
        <w:tabs>
          <w:tab w:val="num" w:pos="5940"/>
        </w:tabs>
        <w:ind w:left="5940" w:hanging="360"/>
      </w:pPr>
    </w:lvl>
    <w:lvl w:ilvl="8" w:tplc="0C0A001B">
      <w:start w:val="1"/>
      <w:numFmt w:val="decimal"/>
      <w:lvlText w:val="%9."/>
      <w:lvlJc w:val="left"/>
      <w:pPr>
        <w:tabs>
          <w:tab w:val="num" w:pos="6660"/>
        </w:tabs>
        <w:ind w:left="6660" w:hanging="360"/>
      </w:pPr>
    </w:lvl>
  </w:abstractNum>
  <w:abstractNum w:abstractNumId="1">
    <w:nsid w:val="0916453D"/>
    <w:multiLevelType w:val="hybridMultilevel"/>
    <w:tmpl w:val="3F168A50"/>
    <w:lvl w:ilvl="0" w:tplc="92461B3C">
      <w:start w:val="1"/>
      <w:numFmt w:val="decimal"/>
      <w:lvlText w:val="%1."/>
      <w:lvlJc w:val="left"/>
      <w:pPr>
        <w:ind w:left="1120" w:hanging="360"/>
      </w:pPr>
      <w:rPr>
        <w:b/>
        <w:bCs/>
      </w:rPr>
    </w:lvl>
    <w:lvl w:ilvl="1" w:tplc="0C0A0019">
      <w:start w:val="1"/>
      <w:numFmt w:val="lowerLetter"/>
      <w:lvlText w:val="%2."/>
      <w:lvlJc w:val="left"/>
      <w:pPr>
        <w:ind w:left="1840" w:hanging="360"/>
      </w:pPr>
    </w:lvl>
    <w:lvl w:ilvl="2" w:tplc="0C0A001B">
      <w:start w:val="1"/>
      <w:numFmt w:val="lowerRoman"/>
      <w:lvlText w:val="%3."/>
      <w:lvlJc w:val="right"/>
      <w:pPr>
        <w:ind w:left="2560" w:hanging="180"/>
      </w:pPr>
    </w:lvl>
    <w:lvl w:ilvl="3" w:tplc="0C0A000F">
      <w:start w:val="1"/>
      <w:numFmt w:val="decimal"/>
      <w:lvlText w:val="%4."/>
      <w:lvlJc w:val="left"/>
      <w:pPr>
        <w:ind w:left="3280" w:hanging="360"/>
      </w:pPr>
    </w:lvl>
    <w:lvl w:ilvl="4" w:tplc="0C0A0019">
      <w:start w:val="1"/>
      <w:numFmt w:val="lowerLetter"/>
      <w:lvlText w:val="%5."/>
      <w:lvlJc w:val="left"/>
      <w:pPr>
        <w:ind w:left="4000" w:hanging="360"/>
      </w:pPr>
    </w:lvl>
    <w:lvl w:ilvl="5" w:tplc="0C0A001B">
      <w:start w:val="1"/>
      <w:numFmt w:val="lowerRoman"/>
      <w:lvlText w:val="%6."/>
      <w:lvlJc w:val="right"/>
      <w:pPr>
        <w:ind w:left="4720" w:hanging="180"/>
      </w:pPr>
    </w:lvl>
    <w:lvl w:ilvl="6" w:tplc="0C0A000F">
      <w:start w:val="1"/>
      <w:numFmt w:val="decimal"/>
      <w:lvlText w:val="%7."/>
      <w:lvlJc w:val="left"/>
      <w:pPr>
        <w:ind w:left="5440" w:hanging="360"/>
      </w:pPr>
    </w:lvl>
    <w:lvl w:ilvl="7" w:tplc="0C0A0019">
      <w:start w:val="1"/>
      <w:numFmt w:val="lowerLetter"/>
      <w:lvlText w:val="%8."/>
      <w:lvlJc w:val="left"/>
      <w:pPr>
        <w:ind w:left="6160" w:hanging="360"/>
      </w:pPr>
    </w:lvl>
    <w:lvl w:ilvl="8" w:tplc="0C0A001B">
      <w:start w:val="1"/>
      <w:numFmt w:val="lowerRoman"/>
      <w:lvlText w:val="%9."/>
      <w:lvlJc w:val="right"/>
      <w:pPr>
        <w:ind w:left="6880" w:hanging="180"/>
      </w:pPr>
    </w:lvl>
  </w:abstractNum>
  <w:abstractNum w:abstractNumId="2">
    <w:nsid w:val="09E252FB"/>
    <w:multiLevelType w:val="hybridMultilevel"/>
    <w:tmpl w:val="5D4C8196"/>
    <w:lvl w:ilvl="0" w:tplc="0C0A0019">
      <w:start w:val="1"/>
      <w:numFmt w:val="lowerLetter"/>
      <w:lvlText w:val="%1."/>
      <w:lvlJc w:val="lef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3">
    <w:nsid w:val="0D89661A"/>
    <w:multiLevelType w:val="hybridMultilevel"/>
    <w:tmpl w:val="5ED447A4"/>
    <w:lvl w:ilvl="0" w:tplc="CDE0A59A">
      <w:start w:val="1"/>
      <w:numFmt w:val="decimal"/>
      <w:lvlText w:val="%1."/>
      <w:lvlJc w:val="left"/>
      <w:pPr>
        <w:tabs>
          <w:tab w:val="num" w:pos="454"/>
        </w:tabs>
        <w:ind w:left="454" w:hanging="454"/>
      </w:pPr>
      <w:rPr>
        <w:rFonts w:ascii="Tahoma" w:hAnsi="Tahoma" w:cs="Tahoma" w:hint="default"/>
        <w:b/>
        <w:bCs w:val="0"/>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31D60A9"/>
    <w:multiLevelType w:val="hybridMultilevel"/>
    <w:tmpl w:val="1A801A96"/>
    <w:lvl w:ilvl="0" w:tplc="AAC2829A">
      <w:start w:val="1"/>
      <w:numFmt w:val="decimal"/>
      <w:lvlText w:val="%1."/>
      <w:lvlJc w:val="left"/>
      <w:pPr>
        <w:tabs>
          <w:tab w:val="num" w:pos="720"/>
        </w:tabs>
        <w:ind w:left="720" w:hanging="360"/>
      </w:pPr>
      <w:rPr>
        <w:rFonts w:hint="default"/>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nsid w:val="26025333"/>
    <w:multiLevelType w:val="singleLevel"/>
    <w:tmpl w:val="3ACE5C9A"/>
    <w:lvl w:ilvl="0">
      <w:start w:val="1"/>
      <w:numFmt w:val="lowerLetter"/>
      <w:lvlText w:val="%1)"/>
      <w:legacy w:legacy="1" w:legacySpace="0" w:legacyIndent="360"/>
      <w:lvlJc w:val="left"/>
      <w:pPr>
        <w:ind w:left="1211" w:hanging="360"/>
      </w:pPr>
    </w:lvl>
  </w:abstractNum>
  <w:abstractNum w:abstractNumId="6">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87B00B0"/>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8">
    <w:nsid w:val="482A3B48"/>
    <w:multiLevelType w:val="hybridMultilevel"/>
    <w:tmpl w:val="2A405E54"/>
    <w:lvl w:ilvl="0" w:tplc="0C0A0001">
      <w:start w:val="1"/>
      <w:numFmt w:val="bullet"/>
      <w:lvlText w:val=""/>
      <w:lvlJc w:val="left"/>
      <w:pPr>
        <w:tabs>
          <w:tab w:val="num" w:pos="1440"/>
        </w:tabs>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0">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1">
    <w:nsid w:val="5FEE0699"/>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2">
    <w:nsid w:val="64D17E7D"/>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3">
    <w:nsid w:val="6E1B3FE2"/>
    <w:multiLevelType w:val="hybridMultilevel"/>
    <w:tmpl w:val="1B168A08"/>
    <w:lvl w:ilvl="0" w:tplc="0C0A0001">
      <w:start w:val="1"/>
      <w:numFmt w:val="bullet"/>
      <w:lvlText w:val=""/>
      <w:lvlJc w:val="left"/>
      <w:pPr>
        <w:ind w:left="2136" w:hanging="360"/>
      </w:pPr>
      <w:rPr>
        <w:rFonts w:ascii="Symbol" w:hAnsi="Symbol" w:cs="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4">
    <w:nsid w:val="70F06CCF"/>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5">
    <w:nsid w:val="71663834"/>
    <w:multiLevelType w:val="hybridMultilevel"/>
    <w:tmpl w:val="4428360C"/>
    <w:lvl w:ilvl="0" w:tplc="C32AC72C">
      <w:start w:val="1"/>
      <w:numFmt w:val="decimal"/>
      <w:lvlText w:val="%1."/>
      <w:lvlJc w:val="left"/>
      <w:pPr>
        <w:tabs>
          <w:tab w:val="num" w:pos="1164"/>
        </w:tabs>
        <w:ind w:left="1164" w:hanging="454"/>
      </w:pPr>
      <w:rPr>
        <w:rFonts w:ascii="Tahoma" w:hAnsi="Tahoma" w:cs="Tahoma" w:hint="default"/>
        <w:b/>
        <w:bCs/>
        <w:i w:val="0"/>
        <w:iCs w:val="0"/>
        <w:shadow/>
        <w:emboss w:val="0"/>
        <w:imprint w:val="0"/>
        <w:sz w:val="20"/>
        <w:szCs w:val="2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abstractNumId w:val="3"/>
  </w:num>
  <w:num w:numId="2">
    <w:abstractNumId w:val="10"/>
  </w:num>
  <w:num w:numId="3">
    <w:abstractNumId w:val="9"/>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4"/>
  </w:num>
  <w:num w:numId="9">
    <w:abstractNumId w:val="5"/>
  </w:num>
  <w:num w:numId="10">
    <w:abstractNumId w:val="7"/>
  </w:num>
  <w:num w:numId="11">
    <w:abstractNumId w:val="12"/>
  </w:num>
  <w:num w:numId="12">
    <w:abstractNumId w:val="13"/>
  </w:num>
  <w:num w:numId="13">
    <w:abstractNumId w:val="4"/>
  </w:num>
  <w:num w:numId="14">
    <w:abstractNumId w:val="2"/>
  </w:num>
  <w:num w:numId="15">
    <w:abstractNumId w:val="15"/>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B447E9"/>
    <w:rsid w:val="00032AAE"/>
    <w:rsid w:val="00124182"/>
    <w:rsid w:val="00330337"/>
    <w:rsid w:val="003B3344"/>
    <w:rsid w:val="004E20E1"/>
    <w:rsid w:val="004F6336"/>
    <w:rsid w:val="00586BB3"/>
    <w:rsid w:val="0066645E"/>
    <w:rsid w:val="007C7A65"/>
    <w:rsid w:val="0096071E"/>
    <w:rsid w:val="009A06DC"/>
    <w:rsid w:val="00B210FD"/>
    <w:rsid w:val="00B447E9"/>
    <w:rsid w:val="00B663F7"/>
    <w:rsid w:val="00BB5DE4"/>
    <w:rsid w:val="00C570CB"/>
    <w:rsid w:val="00CB7BE4"/>
    <w:rsid w:val="00DB3767"/>
    <w:rsid w:val="00DF1DC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7E9"/>
    <w:rPr>
      <w:rFonts w:ascii="Calibri" w:eastAsia="Calibri" w:hAnsi="Calibri" w:cs="Times New Roman"/>
    </w:rPr>
  </w:style>
  <w:style w:type="paragraph" w:styleId="Ttulo2">
    <w:name w:val="heading 2"/>
    <w:basedOn w:val="Normal"/>
    <w:next w:val="Normal"/>
    <w:link w:val="Ttulo2Car"/>
    <w:qFormat/>
    <w:rsid w:val="00B447E9"/>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B447E9"/>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B447E9"/>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B447E9"/>
    <w:rPr>
      <w:rFonts w:ascii="Arial" w:eastAsia="Calibri" w:hAnsi="Arial" w:cs="Arial"/>
      <w:b/>
      <w:bCs/>
      <w:sz w:val="26"/>
      <w:szCs w:val="26"/>
    </w:rPr>
  </w:style>
  <w:style w:type="paragraph" w:styleId="Textoindependiente3">
    <w:name w:val="Body Text 3"/>
    <w:basedOn w:val="Normal"/>
    <w:link w:val="Textoindependiente3Car"/>
    <w:semiHidden/>
    <w:unhideWhenUsed/>
    <w:rsid w:val="00B447E9"/>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B447E9"/>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B447E9"/>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B447E9"/>
    <w:pPr>
      <w:tabs>
        <w:tab w:val="center" w:pos="4252"/>
        <w:tab w:val="right" w:pos="8504"/>
      </w:tabs>
    </w:pPr>
  </w:style>
  <w:style w:type="character" w:customStyle="1" w:styleId="PiedepginaCar">
    <w:name w:val="Pie de página Car"/>
    <w:basedOn w:val="Fuentedeprrafopredeter"/>
    <w:link w:val="Piedepgina"/>
    <w:uiPriority w:val="99"/>
    <w:rsid w:val="00B447E9"/>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B447E9"/>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B447E9"/>
    <w:rPr>
      <w:rFonts w:ascii="Tahoma" w:eastAsia="Calibri" w:hAnsi="Tahoma" w:cs="Tahoma"/>
      <w:sz w:val="20"/>
      <w:szCs w:val="20"/>
    </w:rPr>
  </w:style>
  <w:style w:type="character" w:styleId="Refdenotaalpie">
    <w:name w:val="footnote reference"/>
    <w:basedOn w:val="Fuentedeprrafopredeter"/>
    <w:uiPriority w:val="99"/>
    <w:semiHidden/>
    <w:rsid w:val="00B447E9"/>
    <w:rPr>
      <w:vertAlign w:val="superscript"/>
    </w:rPr>
  </w:style>
  <w:style w:type="paragraph" w:styleId="Textoindependiente">
    <w:name w:val="Body Text"/>
    <w:basedOn w:val="Normal"/>
    <w:link w:val="TextoindependienteCar"/>
    <w:uiPriority w:val="99"/>
    <w:unhideWhenUsed/>
    <w:rsid w:val="00B447E9"/>
    <w:pPr>
      <w:spacing w:after="120"/>
    </w:pPr>
  </w:style>
  <w:style w:type="character" w:customStyle="1" w:styleId="TextoindependienteCar">
    <w:name w:val="Texto independiente Car"/>
    <w:basedOn w:val="Fuentedeprrafopredeter"/>
    <w:link w:val="Textoindependiente"/>
    <w:uiPriority w:val="99"/>
    <w:rsid w:val="00B447E9"/>
    <w:rPr>
      <w:rFonts w:ascii="Calibri" w:eastAsia="Calibri" w:hAnsi="Calibri" w:cs="Times New Roman"/>
    </w:rPr>
  </w:style>
  <w:style w:type="character" w:styleId="Textoennegrita">
    <w:name w:val="Strong"/>
    <w:basedOn w:val="Fuentedeprrafopredeter"/>
    <w:uiPriority w:val="99"/>
    <w:qFormat/>
    <w:rsid w:val="00B447E9"/>
    <w:rPr>
      <w:b/>
      <w:bCs/>
    </w:rPr>
  </w:style>
  <w:style w:type="paragraph" w:styleId="Encabezado">
    <w:name w:val="header"/>
    <w:aliases w:val="maria,h"/>
    <w:basedOn w:val="Normal"/>
    <w:link w:val="EncabezadoCar"/>
    <w:uiPriority w:val="99"/>
    <w:semiHidden/>
    <w:unhideWhenUsed/>
    <w:rsid w:val="003B3344"/>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3B334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845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7</Pages>
  <Words>2694</Words>
  <Characters>14819</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2011-07-25T20:14:00Z</cp:lastPrinted>
  <dcterms:created xsi:type="dcterms:W3CDTF">2011-07-25T17:41:00Z</dcterms:created>
  <dcterms:modified xsi:type="dcterms:W3CDTF">2011-08-24T17:33:00Z</dcterms:modified>
</cp:coreProperties>
</file>